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282" w:hanging="0"/>
        <w:jc w:val="center"/>
        <w:rPr>
          <w:b/>
          <w:b/>
          <w:sz w:val="18"/>
          <w:szCs w:val="18"/>
        </w:rPr>
      </w:pPr>
      <w:r>
        <w:rPr>
          <w:b/>
          <w:sz w:val="18"/>
          <w:szCs w:val="18"/>
        </w:rPr>
      </w:r>
    </w:p>
    <w:p>
      <w:pPr>
        <w:pStyle w:val="Normal"/>
        <w:ind w:right="282" w:hanging="0"/>
        <w:jc w:val="center"/>
        <w:rPr>
          <w:b w:val="false"/>
          <w:b w:val="false"/>
          <w:bCs w:val="false"/>
          <w:color w:val="000000"/>
          <w:sz w:val="18"/>
          <w:szCs w:val="18"/>
        </w:rPr>
      </w:pPr>
      <w:r>
        <w:rPr>
          <w:b/>
          <w:bCs/>
          <w:color w:val="000000"/>
          <w:sz w:val="18"/>
          <w:szCs w:val="18"/>
        </w:rPr>
        <w:t>NOTAS EXPLICATIVAS:</w:t>
      </w:r>
    </w:p>
    <w:p>
      <w:pPr>
        <w:pStyle w:val="Normal"/>
        <w:ind w:right="282" w:hanging="0"/>
        <w:jc w:val="center"/>
        <w:rPr>
          <w:b/>
          <w:b/>
          <w:bCs/>
        </w:rPr>
      </w:pPr>
      <w:r>
        <w:rPr>
          <w:b/>
          <w:bCs/>
        </w:rPr>
      </w:r>
    </w:p>
    <w:p>
      <w:pPr>
        <w:pStyle w:val="Normal"/>
        <w:spacing w:lineRule="auto" w:line="232" w:before="0" w:after="3"/>
        <w:ind w:right="-1" w:hanging="20"/>
        <w:jc w:val="both"/>
        <w:rPr>
          <w:rFonts w:ascii="Arial" w:hAnsi="Arial"/>
          <w:sz w:val="18"/>
          <w:szCs w:val="18"/>
        </w:rPr>
      </w:pPr>
      <w:r>
        <w:rPr>
          <w:rFonts w:eastAsia="Times New Roman" w:cs="Times New Roman" w:ascii="Arial" w:hAnsi="Arial"/>
          <w:b/>
          <w:sz w:val="18"/>
          <w:szCs w:val="18"/>
        </w:rPr>
        <w:t xml:space="preserve">Nota Explicativa 1: </w:t>
      </w:r>
    </w:p>
    <w:p>
      <w:pPr>
        <w:pStyle w:val="Normal"/>
        <w:spacing w:lineRule="auto" w:line="232" w:before="0" w:after="3"/>
        <w:ind w:right="-1" w:hanging="20"/>
        <w:jc w:val="both"/>
        <w:rPr>
          <w:rFonts w:ascii="Arial" w:hAnsi="Arial" w:eastAsia="Times New Roman" w:cs="Times New Roman"/>
          <w:b/>
          <w:b/>
          <w:sz w:val="18"/>
          <w:szCs w:val="18"/>
        </w:rPr>
      </w:pPr>
      <w:r>
        <w:rPr>
          <w:rFonts w:eastAsia="Times New Roman" w:cs="Times New Roman" w:ascii="Arial" w:hAnsi="Arial"/>
          <w:b/>
          <w:sz w:val="18"/>
          <w:szCs w:val="18"/>
        </w:rPr>
      </w:r>
    </w:p>
    <w:p>
      <w:pPr>
        <w:pStyle w:val="Normal"/>
        <w:ind w:hanging="0"/>
        <w:jc w:val="both"/>
        <w:rPr>
          <w:rFonts w:ascii="Arial" w:hAnsi="Arial"/>
          <w:sz w:val="18"/>
          <w:szCs w:val="18"/>
        </w:rPr>
      </w:pPr>
      <w:r>
        <w:rPr>
          <w:rFonts w:ascii="Arial" w:hAnsi="Arial"/>
          <w:sz w:val="18"/>
          <w:szCs w:val="18"/>
        </w:rPr>
        <w:t xml:space="preserve">O presente modelo de Acordo de Cooperação Técnica é o instrumento formal utilizado por entes públicos para se estabelecer um vínculo cooperativo ou de parceria entre si, que tenham interesses e condições recíprocas ou equivalentes, de modo a realizar um propósito comum, voltado ao interesse público, onde as duas partes fornecem, cada uma, a sua parcela de conhecimento, equipamento, ou até mesmo uma equipe, para que seja alcançado o objetivo acordado. O ACORDO de cooperação se diferencia de convênios, contratos de repasse e termos de execução descentralizada pelo simples fato de não existir a possibilidade de transferência de recursos entre os partícipes. </w:t>
      </w:r>
    </w:p>
    <w:p>
      <w:pPr>
        <w:pStyle w:val="Normal"/>
        <w:ind w:hanging="0"/>
        <w:jc w:val="both"/>
        <w:rPr>
          <w:rFonts w:ascii="Arial" w:hAnsi="Arial"/>
          <w:sz w:val="18"/>
          <w:szCs w:val="18"/>
        </w:rPr>
      </w:pPr>
      <w:r>
        <w:rPr>
          <w:rFonts w:ascii="Arial" w:hAnsi="Arial"/>
          <w:sz w:val="18"/>
          <w:szCs w:val="18"/>
        </w:rPr>
        <w:t>Nos termos do art. 2º, inciso XII do Decreto nº 11.531, de 16 de maio de 2023, o Acordo de Cooperação Técnica é definido como “</w:t>
      </w:r>
      <w:r>
        <w:rPr>
          <w:rFonts w:ascii="Arial" w:hAnsi="Arial"/>
          <w:i/>
          <w:iCs/>
          <w:sz w:val="18"/>
          <w:szCs w:val="18"/>
        </w:rPr>
        <w:t>instrumento de cooperação para a execução de ações de interesse recíproco e em regime de mútua colaboração, a título gratuito, sem transferência de recursos ou doação de bens, no qual o objeto e as condições da cooperação são ajustados de comum acordo entre as partes</w:t>
      </w:r>
      <w:r>
        <w:rPr>
          <w:rFonts w:ascii="Arial" w:hAnsi="Arial"/>
          <w:sz w:val="18"/>
          <w:szCs w:val="18"/>
        </w:rPr>
        <w:t xml:space="preserve">”. </w:t>
      </w:r>
    </w:p>
    <w:p>
      <w:pPr>
        <w:pStyle w:val="Normal"/>
        <w:ind w:hanging="0"/>
        <w:jc w:val="both"/>
        <w:rPr>
          <w:rFonts w:ascii="Arial" w:hAnsi="Arial"/>
          <w:sz w:val="18"/>
          <w:szCs w:val="18"/>
        </w:rPr>
      </w:pPr>
      <w:r>
        <w:rPr>
          <w:rFonts w:ascii="Arial" w:hAnsi="Arial"/>
          <w:sz w:val="18"/>
          <w:szCs w:val="18"/>
        </w:rPr>
        <w:t xml:space="preserve">São exemplos de órgãos públicos e outras entidades que podem celebrar Acordo de Cooperação Técnica, nos termos do </w:t>
      </w:r>
      <w:r>
        <w:rPr>
          <w:rFonts w:ascii="Arial" w:hAnsi="Arial"/>
          <w:sz w:val="18"/>
          <w:szCs w:val="18"/>
        </w:rPr>
        <w:t>art. 25 do Decreto nº 11.531, de 16 de maio de 2023:</w:t>
      </w:r>
    </w:p>
    <w:p>
      <w:pPr>
        <w:pStyle w:val="Normal"/>
        <w:spacing w:lineRule="auto" w:line="240"/>
        <w:ind w:left="1843" w:hanging="0"/>
        <w:jc w:val="both"/>
        <w:rPr>
          <w:rFonts w:ascii="Arial" w:hAnsi="Arial"/>
          <w:sz w:val="18"/>
          <w:szCs w:val="18"/>
        </w:rPr>
      </w:pPr>
      <w:r>
        <w:rPr>
          <w:rFonts w:eastAsia="Times New Roman" w:cs="Arial" w:ascii="Arial" w:hAnsi="Arial"/>
          <w:b w:val="false"/>
          <w:bCs w:val="false"/>
          <w:i/>
          <w:iCs/>
          <w:color w:val="000000"/>
          <w:sz w:val="18"/>
          <w:szCs w:val="18"/>
          <w:u w:val="none"/>
          <w:lang w:eastAsia="ar-SA"/>
        </w:rPr>
        <w:t>Art. 25.  Os acordos de cooperação técnica e os acordos de adesão poderão ser celebrados:</w:t>
      </w:r>
    </w:p>
    <w:p>
      <w:pPr>
        <w:pStyle w:val="Normal"/>
        <w:spacing w:lineRule="auto" w:line="240"/>
        <w:ind w:left="1843" w:hanging="0"/>
        <w:jc w:val="both"/>
        <w:rPr>
          <w:rFonts w:ascii="Arial" w:hAnsi="Arial"/>
          <w:sz w:val="18"/>
          <w:szCs w:val="18"/>
        </w:rPr>
      </w:pPr>
      <w:r>
        <w:rPr>
          <w:rFonts w:ascii="Arial" w:hAnsi="Arial"/>
          <w:i/>
          <w:iCs/>
          <w:sz w:val="18"/>
          <w:szCs w:val="18"/>
        </w:rPr>
        <w:t>I - entre órgãos e entidades da administração pública federal;</w:t>
      </w:r>
    </w:p>
    <w:p>
      <w:pPr>
        <w:pStyle w:val="Normal"/>
        <w:spacing w:lineRule="auto" w:line="240"/>
        <w:ind w:left="1843" w:hanging="0"/>
        <w:jc w:val="both"/>
        <w:rPr>
          <w:rFonts w:ascii="Arial" w:hAnsi="Arial"/>
          <w:sz w:val="18"/>
          <w:szCs w:val="18"/>
        </w:rPr>
      </w:pPr>
      <w:r>
        <w:rPr>
          <w:rFonts w:ascii="Arial" w:hAnsi="Arial"/>
          <w:i/>
          <w:iCs/>
          <w:sz w:val="18"/>
          <w:szCs w:val="18"/>
        </w:rPr>
        <w:t>II - com órgãos e entidades da administração pública estadual, distrital e municipal;</w:t>
      </w:r>
    </w:p>
    <w:p>
      <w:pPr>
        <w:pStyle w:val="Normal"/>
        <w:spacing w:lineRule="auto" w:line="240"/>
        <w:ind w:left="1843" w:hanging="0"/>
        <w:jc w:val="both"/>
        <w:rPr>
          <w:rFonts w:ascii="Arial" w:hAnsi="Arial"/>
          <w:sz w:val="18"/>
          <w:szCs w:val="18"/>
        </w:rPr>
      </w:pPr>
      <w:r>
        <w:rPr>
          <w:rFonts w:ascii="Arial" w:hAnsi="Arial"/>
          <w:i/>
          <w:iCs/>
          <w:sz w:val="18"/>
          <w:szCs w:val="18"/>
        </w:rPr>
        <w:t>III - com serviços sociais autônomos; e</w:t>
      </w:r>
    </w:p>
    <w:p>
      <w:pPr>
        <w:pStyle w:val="Normal"/>
        <w:spacing w:lineRule="auto" w:line="240"/>
        <w:ind w:left="1843" w:hanging="0"/>
        <w:jc w:val="both"/>
        <w:rPr>
          <w:rFonts w:ascii="Arial" w:hAnsi="Arial"/>
          <w:sz w:val="18"/>
          <w:szCs w:val="18"/>
        </w:rPr>
      </w:pPr>
      <w:r>
        <w:rPr>
          <w:rFonts w:ascii="Arial" w:hAnsi="Arial"/>
          <w:i/>
          <w:iCs/>
          <w:sz w:val="18"/>
          <w:szCs w:val="18"/>
        </w:rPr>
        <w:t>IV - com consórcios públicos.</w:t>
      </w:r>
    </w:p>
    <w:p>
      <w:pPr>
        <w:pStyle w:val="Normal"/>
        <w:ind w:hanging="0"/>
        <w:jc w:val="both"/>
        <w:rPr>
          <w:rFonts w:ascii="Arial" w:hAnsi="Arial"/>
          <w:sz w:val="18"/>
          <w:szCs w:val="18"/>
        </w:rPr>
      </w:pPr>
      <w:r>
        <w:rPr>
          <w:rFonts w:ascii="Arial" w:hAnsi="Arial"/>
          <w:b/>
          <w:bCs/>
          <w:sz w:val="18"/>
          <w:szCs w:val="18"/>
        </w:rPr>
        <w:t xml:space="preserve">Nota Explicativa 2: </w:t>
      </w:r>
    </w:p>
    <w:p>
      <w:pPr>
        <w:pStyle w:val="Normal"/>
        <w:ind w:hanging="0"/>
        <w:jc w:val="both"/>
        <w:rPr>
          <w:rFonts w:ascii="Arial" w:hAnsi="Arial"/>
          <w:sz w:val="18"/>
          <w:szCs w:val="18"/>
        </w:rPr>
      </w:pPr>
      <w:r>
        <w:rPr>
          <w:rFonts w:ascii="Arial" w:hAnsi="Arial"/>
          <w:sz w:val="18"/>
          <w:szCs w:val="18"/>
        </w:rPr>
        <w:t xml:space="preserve">Os itens deste modelo de instrumento de parceria destacados em </w:t>
      </w:r>
      <w:r>
        <w:rPr>
          <w:rFonts w:ascii="Arial" w:hAnsi="Arial"/>
          <w:i/>
          <w:iCs/>
          <w:color w:val="FF0000"/>
          <w:sz w:val="18"/>
          <w:szCs w:val="18"/>
        </w:rPr>
        <w:t>vermelho</w:t>
      </w:r>
      <w:r>
        <w:rPr>
          <w:rFonts w:ascii="Arial" w:hAnsi="Arial"/>
          <w:color w:val="FF0000"/>
          <w:sz w:val="18"/>
          <w:szCs w:val="18"/>
        </w:rPr>
        <w:t xml:space="preserve"> </w:t>
      </w:r>
      <w:r>
        <w:rPr>
          <w:rFonts w:ascii="Arial" w:hAnsi="Arial"/>
          <w:sz w:val="18"/>
          <w:szCs w:val="18"/>
        </w:rPr>
        <w:t xml:space="preserve">devem ser adotados pelo órgão ou entidade pública, de acordo com as peculiaridades e condições do objeto.  </w:t>
      </w:r>
    </w:p>
    <w:p>
      <w:pPr>
        <w:pStyle w:val="Normal"/>
        <w:jc w:val="both"/>
        <w:rPr>
          <w:rFonts w:ascii="Arial" w:hAnsi="Arial"/>
          <w:sz w:val="18"/>
          <w:szCs w:val="18"/>
        </w:rPr>
      </w:pPr>
      <w:r>
        <w:rPr>
          <w:rFonts w:ascii="Arial" w:hAnsi="Arial"/>
          <w:sz w:val="18"/>
          <w:szCs w:val="18"/>
        </w:rPr>
        <w:t xml:space="preserve"> </w:t>
      </w:r>
    </w:p>
    <w:p>
      <w:pPr>
        <w:pStyle w:val="Normal"/>
        <w:ind w:hanging="0"/>
        <w:jc w:val="both"/>
        <w:rPr>
          <w:rFonts w:ascii="Arial" w:hAnsi="Arial"/>
          <w:sz w:val="18"/>
          <w:szCs w:val="18"/>
        </w:rPr>
      </w:pPr>
      <w:r>
        <w:rPr>
          <w:rFonts w:ascii="Arial" w:hAnsi="Arial"/>
          <w:b/>
          <w:bCs/>
          <w:sz w:val="18"/>
          <w:szCs w:val="18"/>
        </w:rPr>
        <w:t xml:space="preserve">Nota Explicativa 3: </w:t>
      </w:r>
    </w:p>
    <w:p>
      <w:pPr>
        <w:pStyle w:val="Normal"/>
        <w:ind w:hanging="0"/>
        <w:jc w:val="both"/>
        <w:rPr>
          <w:rFonts w:ascii="Arial" w:hAnsi="Arial"/>
          <w:sz w:val="18"/>
          <w:szCs w:val="18"/>
        </w:rPr>
      </w:pPr>
      <w:r>
        <w:rPr>
          <w:rFonts w:ascii="Arial" w:hAnsi="Arial"/>
          <w:sz w:val="18"/>
          <w:szCs w:val="18"/>
        </w:rPr>
        <w:t xml:space="preserve">As notas explicativas apresentadas ao longo do modelo traduzem-se em orientações e devem ser excluídas após as adaptações realizadas.  </w:t>
      </w:r>
    </w:p>
    <w:p>
      <w:pPr>
        <w:pStyle w:val="Normal"/>
        <w:jc w:val="both"/>
        <w:rPr>
          <w:rFonts w:ascii="Arial" w:hAnsi="Arial"/>
          <w:sz w:val="18"/>
          <w:szCs w:val="18"/>
        </w:rPr>
      </w:pPr>
      <w:r>
        <w:rPr>
          <w:rFonts w:ascii="Arial" w:hAnsi="Arial"/>
          <w:sz w:val="18"/>
          <w:szCs w:val="18"/>
        </w:rPr>
        <w:t xml:space="preserve"> </w:t>
      </w:r>
    </w:p>
    <w:p>
      <w:pPr>
        <w:pStyle w:val="Normal"/>
        <w:ind w:hanging="0"/>
        <w:jc w:val="both"/>
        <w:rPr>
          <w:rFonts w:ascii="Arial" w:hAnsi="Arial"/>
          <w:sz w:val="18"/>
          <w:szCs w:val="18"/>
        </w:rPr>
      </w:pPr>
      <w:r>
        <w:rPr>
          <w:rFonts w:ascii="Arial" w:hAnsi="Arial"/>
          <w:b/>
          <w:bCs/>
          <w:sz w:val="18"/>
          <w:szCs w:val="18"/>
        </w:rPr>
        <w:t>Nota Explicativa 4:</w:t>
      </w:r>
    </w:p>
    <w:p>
      <w:pPr>
        <w:pStyle w:val="Normal"/>
        <w:ind w:hanging="0"/>
        <w:jc w:val="both"/>
        <w:rPr>
          <w:rFonts w:ascii="Arial" w:hAnsi="Arial"/>
          <w:sz w:val="18"/>
          <w:szCs w:val="18"/>
        </w:rPr>
      </w:pPr>
      <w:r>
        <w:rPr>
          <w:rFonts w:ascii="Arial" w:hAnsi="Arial"/>
          <w:sz w:val="18"/>
          <w:szCs w:val="18"/>
        </w:rPr>
        <w:t xml:space="preserve">O Órgão Assessorado deverá manter as notas de rodapé dos modelos utilizados para a elaboração das minutas e demais anexos, a fim de que o Órgão Jurídico, ao examinar os documentos, esteja certo de que foi empregado o modelo correto. Na versão final do texto, as notas de rodapé deverão ser excluídas. </w:t>
      </w:r>
    </w:p>
    <w:p>
      <w:pPr>
        <w:pStyle w:val="Normal"/>
        <w:jc w:val="both"/>
        <w:rPr>
          <w:rFonts w:ascii="Arial" w:hAnsi="Arial"/>
          <w:sz w:val="18"/>
          <w:szCs w:val="18"/>
        </w:rPr>
      </w:pPr>
      <w:r>
        <w:rPr>
          <w:rFonts w:ascii="Arial" w:hAnsi="Arial"/>
          <w:sz w:val="18"/>
          <w:szCs w:val="18"/>
        </w:rPr>
      </w:r>
    </w:p>
    <w:p>
      <w:pPr>
        <w:pStyle w:val="Normal"/>
        <w:ind w:hanging="0"/>
        <w:jc w:val="both"/>
        <w:rPr>
          <w:rFonts w:ascii="Arial" w:hAnsi="Arial"/>
          <w:sz w:val="18"/>
          <w:szCs w:val="18"/>
        </w:rPr>
      </w:pPr>
      <w:r>
        <w:rPr>
          <w:rFonts w:ascii="Arial" w:hAnsi="Arial"/>
          <w:b/>
          <w:bCs/>
          <w:sz w:val="18"/>
          <w:szCs w:val="18"/>
        </w:rPr>
        <w:t xml:space="preserve">Nota Explicativa 5: </w:t>
      </w:r>
    </w:p>
    <w:p>
      <w:pPr>
        <w:pStyle w:val="Normal"/>
        <w:ind w:hanging="0"/>
        <w:jc w:val="both"/>
        <w:rPr>
          <w:rFonts w:ascii="Arial" w:hAnsi="Arial"/>
          <w:sz w:val="18"/>
          <w:szCs w:val="18"/>
        </w:rPr>
      </w:pPr>
      <w:r>
        <w:rPr>
          <w:rFonts w:ascii="Arial" w:hAnsi="Arial"/>
          <w:sz w:val="18"/>
          <w:szCs w:val="18"/>
        </w:rPr>
        <w:t>Se o Órgão Assessorado for qualificado como ICT (Instituição Científica, Tecnológica e de Inovação) nos termos da Lei de Inovação, então, deverá seguir a tipologia dos instrumentos jurídicos próprios previstos no regime jurídico de CT&amp;I.</w:t>
      </w:r>
    </w:p>
    <w:p>
      <w:pPr>
        <w:pStyle w:val="Normal"/>
        <w:ind w:hanging="0"/>
        <w:jc w:val="both"/>
        <w:rPr>
          <w:rFonts w:ascii="Arial" w:hAnsi="Arial"/>
          <w:sz w:val="18"/>
          <w:szCs w:val="18"/>
        </w:rPr>
      </w:pPr>
      <w:r>
        <w:rPr>
          <w:rFonts w:ascii="Arial" w:hAnsi="Arial"/>
          <w:sz w:val="18"/>
          <w:szCs w:val="18"/>
        </w:rPr>
        <w:t>Assim, eventual parceria voltada para a execução de atividades conjuntas de CT&amp;I que envolva a ICT da União, se formará segundo a figura denominada Acordo de Parceria, prevista no art. 9º da Lei nº 10.973/2004, e se incluir, também, a participação da fundação de apoio (Lei nº 8.958/1994), poderá se enquadrar na figura do Convênio ECTI, previsto no Decreto nº 8.240/2010.</w:t>
      </w:r>
    </w:p>
    <w:p>
      <w:pPr>
        <w:pStyle w:val="Normal"/>
        <w:ind w:hanging="0"/>
        <w:jc w:val="both"/>
        <w:rPr/>
      </w:pPr>
      <w:r>
        <w:rPr>
          <w:rFonts w:ascii="Arial" w:hAnsi="Arial"/>
          <w:sz w:val="18"/>
          <w:szCs w:val="18"/>
        </w:rPr>
        <w:t xml:space="preserve">A CNPDI possui modelo de Acordo de Parceria disponibilizado como orientação geral de elaboração de instrumentos jurídicos de CT&amp;I no endereço </w:t>
      </w:r>
      <w:hyperlink r:id="rId2">
        <w:r>
          <w:rPr>
            <w:rStyle w:val="LinkdaInternet"/>
            <w:rFonts w:ascii="Arial" w:hAnsi="Arial"/>
            <w:i/>
            <w:iCs/>
            <w:sz w:val="18"/>
            <w:szCs w:val="18"/>
          </w:rPr>
          <w:t>https://www.gov.br/agu/pt-br/composicao/cgu/cgu/modelos/cti/modelogeral</w:t>
        </w:r>
      </w:hyperlink>
      <w:r>
        <w:rPr>
          <w:rFonts w:ascii="Arial" w:hAnsi="Arial"/>
          <w:i/>
          <w:iCs/>
          <w:sz w:val="18"/>
          <w:szCs w:val="18"/>
        </w:rPr>
        <w:t>.</w:t>
      </w:r>
    </w:p>
    <w:p>
      <w:pPr>
        <w:pStyle w:val="Normal"/>
        <w:spacing w:lineRule="auto" w:line="259"/>
        <w:ind w:left="1843" w:hanging="0"/>
        <w:jc w:val="both"/>
        <w:rPr>
          <w:rFonts w:eastAsia="Times New Roman" w:cs="Arial"/>
          <w:b w:val="false"/>
          <w:b w:val="false"/>
          <w:bCs w:val="false"/>
          <w:i/>
          <w:i/>
          <w:iCs/>
          <w:color w:val="000000"/>
          <w:u w:val="none"/>
          <w:lang w:eastAsia="ar-SA"/>
        </w:rPr>
      </w:pPr>
      <w:r>
        <w:rPr>
          <w:rFonts w:ascii="Arial" w:hAnsi="Arial"/>
          <w:sz w:val="18"/>
          <w:szCs w:val="18"/>
        </w:rPr>
      </w:r>
    </w:p>
    <w:p>
      <w:pPr>
        <w:pStyle w:val="Normal"/>
        <w:ind w:right="282" w:hanging="0"/>
        <w:jc w:val="both"/>
        <w:rPr>
          <w:rFonts w:ascii="Arial" w:hAnsi="Arial"/>
          <w:b/>
          <w:b/>
          <w:color w:val="C9211E"/>
          <w:sz w:val="20"/>
          <w:szCs w:val="20"/>
        </w:rPr>
      </w:pPr>
      <w:r>
        <w:rPr>
          <w:rFonts w:ascii="Arial" w:hAnsi="Arial"/>
          <w:b/>
          <w:color w:val="C9211E"/>
          <w:sz w:val="20"/>
          <w:szCs w:val="20"/>
        </w:rPr>
      </w:r>
    </w:p>
    <w:p>
      <w:pPr>
        <w:pStyle w:val="Normal"/>
        <w:ind w:right="282" w:hanging="0"/>
        <w:jc w:val="center"/>
        <w:rPr>
          <w:rFonts w:ascii="Arial" w:hAnsi="Arial"/>
          <w:b/>
          <w:b/>
          <w:color w:val="C9211E"/>
          <w:sz w:val="20"/>
          <w:szCs w:val="20"/>
        </w:rPr>
      </w:pPr>
      <w:r>
        <w:rPr>
          <w:rFonts w:ascii="Arial" w:hAnsi="Arial"/>
          <w:b/>
          <w:color w:val="C9211E"/>
          <w:sz w:val="20"/>
          <w:szCs w:val="20"/>
        </w:rPr>
      </w:r>
    </w:p>
    <w:p>
      <w:pPr>
        <w:pStyle w:val="Normal"/>
        <w:ind w:right="282" w:hanging="0"/>
        <w:jc w:val="center"/>
        <w:rPr>
          <w:rFonts w:ascii="Arial" w:hAnsi="Arial"/>
          <w:b/>
          <w:b/>
          <w:color w:val="C9211E"/>
          <w:sz w:val="20"/>
          <w:szCs w:val="20"/>
        </w:rPr>
      </w:pPr>
      <w:r>
        <w:rPr>
          <w:rFonts w:ascii="Arial" w:hAnsi="Arial"/>
          <w:b/>
          <w:color w:val="C9211E"/>
          <w:sz w:val="20"/>
          <w:szCs w:val="20"/>
        </w:rPr>
      </w:r>
    </w:p>
    <w:p>
      <w:pPr>
        <w:pStyle w:val="Normal"/>
        <w:ind w:right="282" w:hanging="0"/>
        <w:jc w:val="center"/>
        <w:rPr>
          <w:rFonts w:ascii="Arial" w:hAnsi="Arial"/>
          <w:b/>
          <w:b/>
          <w:color w:val="C9211E"/>
          <w:sz w:val="20"/>
          <w:szCs w:val="20"/>
        </w:rPr>
      </w:pPr>
      <w:r>
        <w:rPr>
          <w:rFonts w:ascii="Arial" w:hAnsi="Arial"/>
          <w:b/>
          <w:color w:val="C9211E"/>
          <w:sz w:val="20"/>
          <w:szCs w:val="20"/>
        </w:rPr>
      </w:r>
    </w:p>
    <w:p>
      <w:pPr>
        <w:pStyle w:val="Normal"/>
        <w:ind w:right="282" w:hanging="0"/>
        <w:jc w:val="center"/>
        <w:rPr/>
      </w:pPr>
      <w:r>
        <w:rPr>
          <w:b/>
          <w:color w:val="C9211E"/>
          <w:sz w:val="28"/>
          <w:szCs w:val="28"/>
        </w:rPr>
        <w:t>MINUTA</w:t>
      </w:r>
    </w:p>
    <w:p>
      <w:pPr>
        <w:pStyle w:val="Normal"/>
        <w:spacing w:lineRule="auto" w:line="240" w:before="0" w:after="0"/>
        <w:ind w:left="0" w:right="425" w:hanging="0"/>
        <w:jc w:val="center"/>
        <w:rPr>
          <w:rFonts w:ascii="Arial" w:hAnsi="Arial" w:eastAsia="Times New Roman" w:cs="Arial"/>
          <w:b/>
          <w:b/>
          <w:color w:val="FF0000"/>
          <w:sz w:val="24"/>
          <w:szCs w:val="24"/>
          <w:lang w:eastAsia="ar-SA"/>
        </w:rPr>
      </w:pPr>
      <w:r>
        <w:rPr>
          <w:rFonts w:eastAsia="Times New Roman" w:cs="Arial"/>
          <w:b/>
          <w:color w:val="C9211E"/>
          <w:sz w:val="28"/>
          <w:szCs w:val="28"/>
          <w:lang w:eastAsia="ar-SA"/>
        </w:rPr>
        <w:t>(Por favor, não assinar)</w:t>
      </w:r>
    </w:p>
    <w:p>
      <w:pPr>
        <w:pStyle w:val="Normal"/>
        <w:ind w:right="282" w:hanging="0"/>
        <w:jc w:val="center"/>
        <w:rPr>
          <w:b/>
          <w:b/>
          <w:sz w:val="24"/>
          <w:szCs w:val="24"/>
        </w:rPr>
      </w:pPr>
      <w:r>
        <w:rPr>
          <w:b/>
          <w:sz w:val="24"/>
          <w:szCs w:val="24"/>
        </w:rPr>
      </w:r>
    </w:p>
    <w:p>
      <w:pPr>
        <w:pStyle w:val="Normal"/>
        <w:ind w:right="282" w:hanging="0"/>
        <w:jc w:val="center"/>
        <w:rPr/>
      </w:pPr>
      <w:r>
        <w:rPr>
          <w:b/>
          <w:sz w:val="22"/>
          <w:szCs w:val="22"/>
        </w:rPr>
        <w:t>ACORDO DE COOPERAÇÃO</w:t>
      </w:r>
      <w:r>
        <w:rPr>
          <w:b/>
          <w:sz w:val="24"/>
          <w:szCs w:val="24"/>
        </w:rPr>
        <w:t xml:space="preserve"> TÉCNICA</w:t>
      </w:r>
    </w:p>
    <w:p>
      <w:pPr>
        <w:pStyle w:val="Normal"/>
        <w:ind w:right="282" w:hanging="0"/>
        <w:rPr>
          <w:rFonts w:ascii="Arial" w:hAnsi="Arial"/>
          <w:sz w:val="22"/>
          <w:szCs w:val="22"/>
        </w:rPr>
      </w:pPr>
      <w:r>
        <w:rPr>
          <w:sz w:val="22"/>
          <w:szCs w:val="22"/>
        </w:rPr>
      </w:r>
    </w:p>
    <w:p>
      <w:pPr>
        <w:pStyle w:val="Normal"/>
        <w:widowControl/>
        <w:tabs>
          <w:tab w:val="clear" w:pos="720"/>
          <w:tab w:val="left" w:pos="1188" w:leader="none"/>
          <w:tab w:val="left" w:pos="4820" w:leader="none"/>
        </w:tabs>
        <w:suppressAutoHyphens w:val="true"/>
        <w:bidi w:val="0"/>
        <w:spacing w:lineRule="auto" w:line="240" w:before="0" w:after="0"/>
        <w:ind w:left="0" w:right="0" w:hanging="0"/>
        <w:contextualSpacing/>
        <w:jc w:val="center"/>
        <w:rPr>
          <w:b/>
          <w:b/>
          <w:bCs/>
          <w:sz w:val="24"/>
          <w:szCs w:val="24"/>
        </w:rPr>
      </w:pPr>
      <w:r>
        <w:rPr>
          <w:rFonts w:cs="Arial" w:cstheme="majorHAnsi"/>
          <w:b/>
          <w:bCs/>
          <w:sz w:val="24"/>
          <w:szCs w:val="24"/>
        </w:rPr>
        <w:t xml:space="preserve">Acordo de Cooperação Técnica </w:t>
      </w:r>
      <w:r>
        <w:rPr>
          <w:rFonts w:cs="Arial" w:cstheme="majorHAnsi"/>
          <w:b/>
          <w:bCs/>
          <w:sz w:val="24"/>
          <w:szCs w:val="24"/>
        </w:rPr>
        <w:t xml:space="preserve">IFG </w:t>
      </w:r>
      <w:r>
        <w:rPr>
          <w:rFonts w:cs="Arial" w:cstheme="majorHAnsi"/>
          <w:b/>
          <w:bCs/>
          <w:sz w:val="24"/>
          <w:szCs w:val="24"/>
        </w:rPr>
        <w:t>nº____/_________</w:t>
      </w:r>
    </w:p>
    <w:p>
      <w:pPr>
        <w:pStyle w:val="Normal"/>
        <w:tabs>
          <w:tab w:val="clear" w:pos="720"/>
          <w:tab w:val="left" w:pos="4820" w:leader="none"/>
        </w:tabs>
        <w:spacing w:lineRule="auto" w:line="240" w:before="0" w:after="0"/>
        <w:ind w:left="0" w:right="0" w:hanging="0"/>
        <w:contextualSpacing/>
        <w:rPr>
          <w:rFonts w:ascii="Arial" w:hAnsi="Arial"/>
          <w:b/>
          <w:b/>
          <w:sz w:val="22"/>
          <w:szCs w:val="22"/>
        </w:rPr>
      </w:pPr>
      <w:r>
        <w:rPr>
          <w:b/>
          <w:sz w:val="22"/>
          <w:szCs w:val="22"/>
        </w:rPr>
      </w:r>
    </w:p>
    <w:p>
      <w:pPr>
        <w:pStyle w:val="Normal"/>
        <w:spacing w:lineRule="auto" w:line="360" w:before="0" w:after="0"/>
        <w:ind w:left="0" w:right="0" w:hanging="0"/>
        <w:contextualSpacing/>
        <w:rPr>
          <w:rFonts w:ascii="Arial" w:hAnsi="Arial"/>
          <w:sz w:val="24"/>
          <w:szCs w:val="24"/>
        </w:rPr>
      </w:pPr>
      <w:r>
        <w:rPr>
          <w:sz w:val="24"/>
          <w:szCs w:val="24"/>
        </w:rPr>
      </w:r>
    </w:p>
    <w:p>
      <w:pPr>
        <w:pStyle w:val="Normal"/>
        <w:spacing w:lineRule="auto" w:line="360" w:before="0" w:after="0"/>
        <w:ind w:left="0" w:right="0" w:hanging="0"/>
        <w:contextualSpacing/>
        <w:rPr>
          <w:rFonts w:ascii="Arial" w:hAnsi="Arial"/>
          <w:sz w:val="24"/>
          <w:szCs w:val="24"/>
        </w:rPr>
      </w:pPr>
      <w:r>
        <w:rPr>
          <w:sz w:val="24"/>
          <w:szCs w:val="24"/>
        </w:rPr>
      </w:r>
    </w:p>
    <w:p>
      <w:pPr>
        <w:pStyle w:val="Normal"/>
        <w:spacing w:lineRule="auto" w:line="360" w:before="0" w:after="0"/>
        <w:ind w:left="4253" w:hanging="0"/>
        <w:contextualSpacing/>
        <w:jc w:val="both"/>
        <w:rPr>
          <w:rFonts w:ascii="Arial" w:hAnsi="Arial"/>
          <w:sz w:val="24"/>
          <w:szCs w:val="24"/>
        </w:rPr>
      </w:pPr>
      <w:r>
        <w:rPr>
          <w:rFonts w:ascii="Arial" w:hAnsi="Arial"/>
          <w:b/>
          <w:bCs/>
          <w:sz w:val="24"/>
          <w:szCs w:val="24"/>
        </w:rPr>
        <w:t xml:space="preserve">ACORDO DE COOPERAÇÃO TÉCNICA QUE ENTRE SI CELEBRAM A UNIÃO, POR INTERMÉDIO DO </w:t>
      </w:r>
      <w:r>
        <w:rPr>
          <w:rFonts w:ascii="Arial" w:hAnsi="Arial"/>
          <w:b/>
          <w:bCs/>
          <w:color w:val="000000"/>
          <w:sz w:val="24"/>
          <w:szCs w:val="24"/>
        </w:rPr>
        <w:t>INSTITUTO FEDERAL DE EDUCAÇÃO, CIÊNCIA E TECNOLOGIA DE GOIÁS</w:t>
      </w:r>
      <w:r>
        <w:rPr>
          <w:rFonts w:ascii="Arial" w:hAnsi="Arial"/>
          <w:b/>
          <w:bCs/>
          <w:color w:val="000000"/>
          <w:sz w:val="24"/>
          <w:szCs w:val="24"/>
        </w:rPr>
        <w:t xml:space="preserve"> </w:t>
      </w:r>
      <w:r>
        <w:rPr>
          <w:rFonts w:ascii="Arial" w:hAnsi="Arial"/>
          <w:b/>
          <w:bCs/>
          <w:sz w:val="24"/>
          <w:szCs w:val="24"/>
        </w:rPr>
        <w:t xml:space="preserve">E A </w:t>
      </w:r>
      <w:r>
        <w:rPr>
          <w:rFonts w:ascii="Arial" w:hAnsi="Arial"/>
          <w:b/>
          <w:bCs/>
          <w:color w:val="FF0000"/>
          <w:sz w:val="24"/>
          <w:szCs w:val="24"/>
        </w:rPr>
        <w:t xml:space="preserve">[órgão ou entidade pública federal, estadual ou municipal] </w:t>
      </w:r>
      <w:r>
        <w:rPr>
          <w:rFonts w:ascii="Arial" w:hAnsi="Arial"/>
          <w:b/>
          <w:bCs/>
          <w:sz w:val="24"/>
          <w:szCs w:val="24"/>
        </w:rPr>
        <w:t>PARA OS FINS QUE ESPECIFICA.</w:t>
      </w:r>
    </w:p>
    <w:p>
      <w:pPr>
        <w:pStyle w:val="Normal"/>
        <w:spacing w:lineRule="auto" w:line="360" w:before="0" w:after="0"/>
        <w:ind w:left="0" w:right="0" w:hanging="0"/>
        <w:contextualSpacing/>
        <w:rPr>
          <w:rFonts w:ascii="Arial" w:hAnsi="Arial"/>
          <w:sz w:val="24"/>
          <w:szCs w:val="24"/>
        </w:rPr>
      </w:pPr>
      <w:r>
        <w:rPr>
          <w:rFonts w:ascii="Arial" w:hAnsi="Arial"/>
          <w:sz w:val="24"/>
          <w:szCs w:val="24"/>
        </w:rPr>
      </w:r>
    </w:p>
    <w:p>
      <w:pPr>
        <w:pStyle w:val="Normal"/>
        <w:spacing w:lineRule="auto" w:line="240" w:before="0" w:after="0"/>
        <w:ind w:left="0" w:right="0" w:hanging="0"/>
        <w:contextualSpacing/>
        <w:rPr/>
      </w:pPr>
      <w:r>
        <w:rPr>
          <w:b/>
          <w:bCs/>
          <w:sz w:val="24"/>
          <w:szCs w:val="24"/>
        </w:rPr>
        <w:t>A UNIÃO POR INTERMÉDIO D</w:t>
      </w:r>
      <w:r>
        <w:rPr>
          <w:b/>
          <w:bCs/>
          <w:sz w:val="24"/>
          <w:szCs w:val="24"/>
        </w:rPr>
        <w:t>O</w:t>
      </w:r>
      <w:r>
        <w:rPr>
          <w:sz w:val="24"/>
          <w:szCs w:val="24"/>
        </w:rPr>
        <w:t xml:space="preserve"> </w:t>
      </w:r>
      <w:r>
        <w:rPr>
          <w:b/>
          <w:sz w:val="24"/>
          <w:szCs w:val="24"/>
        </w:rPr>
        <w:t>INSTITUTO FEDERAL DE EDUCAÇÃO, CIÊNCIA E TECNOLOGIA DE GOIÁS</w:t>
      </w:r>
      <w:r>
        <w:rPr>
          <w:sz w:val="24"/>
          <w:szCs w:val="24"/>
        </w:rPr>
        <w:t>, pessoa jurídica de direito púb</w:t>
      </w:r>
      <w:r>
        <w:rPr>
          <w:sz w:val="24"/>
          <w:szCs w:val="24"/>
          <w:highlight w:val="white"/>
        </w:rPr>
        <w:t xml:space="preserve">lico, autarquia federal vinculada ao Ministério da Educação, inscrita no CNPJ sob nº 10.870.883/0001-44, sediado na Avenida C-198, nº </w:t>
      </w:r>
      <w:r>
        <w:rPr>
          <w:rFonts w:eastAsia="Arial" w:cs="Arial"/>
          <w:sz w:val="24"/>
          <w:szCs w:val="24"/>
          <w:highlight w:val="white"/>
          <w:lang w:val="pt-PT"/>
        </w:rPr>
        <w:t>500</w:t>
      </w:r>
      <w:r>
        <w:rPr>
          <w:sz w:val="24"/>
          <w:szCs w:val="24"/>
          <w:highlight w:val="white"/>
        </w:rPr>
        <w:t xml:space="preserve">, Setor </w:t>
      </w:r>
      <w:r>
        <w:rPr>
          <w:rFonts w:eastAsia="Arial" w:cs="Arial"/>
          <w:sz w:val="24"/>
          <w:szCs w:val="24"/>
          <w:highlight w:val="white"/>
          <w:lang w:val="pt-PT"/>
        </w:rPr>
        <w:t>Jardim América</w:t>
      </w:r>
      <w:r>
        <w:rPr>
          <w:sz w:val="24"/>
          <w:szCs w:val="24"/>
          <w:highlight w:val="white"/>
        </w:rPr>
        <w:t xml:space="preserve">, CEP 74.270-040, Goiânia-GO, doravante denominado </w:t>
      </w:r>
      <w:r>
        <w:rPr>
          <w:b/>
          <w:bCs/>
          <w:sz w:val="24"/>
          <w:szCs w:val="24"/>
          <w:highlight w:val="white"/>
        </w:rPr>
        <w:t>IFG</w:t>
      </w:r>
      <w:r>
        <w:rPr>
          <w:b/>
          <w:bCs/>
          <w:color w:val="000000"/>
          <w:sz w:val="24"/>
          <w:szCs w:val="24"/>
          <w:highlight w:val="white"/>
        </w:rPr>
        <w:t>,</w:t>
      </w:r>
      <w:r>
        <w:rPr>
          <w:sz w:val="24"/>
          <w:szCs w:val="24"/>
          <w:highlight w:val="white"/>
        </w:rPr>
        <w:t xml:space="preserve"> neste ato representad</w:t>
      </w:r>
      <w:r>
        <w:rPr>
          <w:rFonts w:eastAsia="Times New Roman" w:cs="Arial"/>
          <w:color w:val="auto"/>
          <w:kern w:val="0"/>
          <w:sz w:val="24"/>
          <w:szCs w:val="24"/>
          <w:highlight w:val="white"/>
          <w:lang w:val="pt-BR" w:eastAsia="ar-SA" w:bidi="ar-SA"/>
        </w:rPr>
        <w:t>o</w:t>
      </w:r>
      <w:r>
        <w:rPr>
          <w:sz w:val="24"/>
          <w:szCs w:val="24"/>
          <w:highlight w:val="white"/>
        </w:rPr>
        <w:t xml:space="preserve"> pela Reitora, </w:t>
      </w:r>
      <w:r>
        <w:rPr>
          <w:b/>
          <w:sz w:val="24"/>
          <w:szCs w:val="24"/>
          <w:highlight w:val="white"/>
        </w:rPr>
        <w:t xml:space="preserve">ONEIDA CRISTINA GOMES BARCELOS IRIGON, </w:t>
      </w:r>
      <w:r>
        <w:rPr>
          <w:b w:val="false"/>
          <w:bCs w:val="false"/>
          <w:sz w:val="24"/>
          <w:szCs w:val="24"/>
          <w:highlight w:val="white"/>
        </w:rPr>
        <w:t xml:space="preserve">nomeada pelo Decreto </w:t>
      </w:r>
      <w:r>
        <w:rPr>
          <w:rFonts w:eastAsia="Times New Roman" w:cs="Arial"/>
          <w:b w:val="false"/>
          <w:bCs w:val="false"/>
          <w:color w:val="auto"/>
          <w:kern w:val="0"/>
          <w:sz w:val="24"/>
          <w:szCs w:val="24"/>
          <w:highlight w:val="white"/>
          <w:lang w:val="pt-BR" w:eastAsia="ar-SA" w:bidi="ar-SA"/>
        </w:rPr>
        <w:t>05 de outubro de 2021</w:t>
      </w:r>
      <w:r>
        <w:rPr>
          <w:b w:val="false"/>
          <w:bCs w:val="false"/>
          <w:sz w:val="24"/>
          <w:szCs w:val="24"/>
          <w:highlight w:val="white"/>
        </w:rPr>
        <w:t>, no Diário Oficial da União de 06 de outubro de 2021</w:t>
      </w:r>
      <w:r>
        <w:rPr>
          <w:b/>
          <w:sz w:val="24"/>
          <w:szCs w:val="24"/>
          <w:highlight w:val="white"/>
        </w:rPr>
        <w:t xml:space="preserve">, </w:t>
      </w:r>
      <w:r>
        <w:rPr>
          <w:sz w:val="24"/>
          <w:szCs w:val="24"/>
          <w:highlight w:val="white"/>
        </w:rPr>
        <w:t>portadora d</w:t>
      </w:r>
      <w:r>
        <w:rPr>
          <w:rFonts w:eastAsia="Times New Roman" w:cs="Arial"/>
          <w:color w:val="auto"/>
          <w:kern w:val="0"/>
          <w:sz w:val="24"/>
          <w:szCs w:val="24"/>
          <w:highlight w:val="white"/>
          <w:lang w:val="pt-BR" w:eastAsia="ar-SA" w:bidi="ar-SA"/>
        </w:rPr>
        <w:t>o registro geral</w:t>
      </w:r>
      <w:r>
        <w:rPr>
          <w:sz w:val="24"/>
          <w:szCs w:val="24"/>
          <w:highlight w:val="white"/>
        </w:rPr>
        <w:t xml:space="preserve"> nº </w:t>
      </w:r>
      <w:r>
        <w:rPr>
          <w:rFonts w:eastAsia="Arial" w:cs="Arial"/>
          <w:sz w:val="24"/>
          <w:szCs w:val="24"/>
          <w:highlight w:val="white"/>
          <w:lang w:val="pt-PT"/>
        </w:rPr>
        <w:t xml:space="preserve">77385, </w:t>
      </w:r>
      <w:r>
        <w:rPr>
          <w:sz w:val="24"/>
          <w:szCs w:val="24"/>
          <w:highlight w:val="white"/>
        </w:rPr>
        <w:t xml:space="preserve">CPF </w:t>
      </w:r>
      <w:r>
        <w:rPr>
          <w:b w:val="false"/>
          <w:i w:val="false"/>
          <w:caps w:val="false"/>
          <w:smallCaps w:val="false"/>
          <w:color w:val="222222"/>
          <w:spacing w:val="0"/>
          <w:sz w:val="24"/>
          <w:szCs w:val="24"/>
          <w:highlight w:val="white"/>
        </w:rPr>
        <w:t xml:space="preserve">354.477.881-53, </w:t>
      </w:r>
      <w:r>
        <w:rPr>
          <w:b w:val="false"/>
          <w:i w:val="false"/>
          <w:caps w:val="false"/>
          <w:smallCaps w:val="false"/>
          <w:color w:val="222222"/>
          <w:spacing w:val="0"/>
          <w:sz w:val="24"/>
          <w:szCs w:val="24"/>
          <w:highlight w:val="white"/>
        </w:rPr>
        <w:t>residente e domiciliada em Goiânia-GO</w:t>
      </w:r>
      <w:r>
        <w:rPr>
          <w:b w:val="false"/>
          <w:i w:val="false"/>
          <w:caps w:val="false"/>
          <w:smallCaps w:val="false"/>
          <w:color w:val="222222"/>
          <w:spacing w:val="0"/>
          <w:sz w:val="24"/>
          <w:szCs w:val="24"/>
          <w:highlight w:val="white"/>
        </w:rPr>
        <w:t xml:space="preserve"> e </w:t>
      </w:r>
      <w:r>
        <w:rPr>
          <w:rFonts w:cs="Arial" w:cstheme="majorHAnsi"/>
          <w:sz w:val="24"/>
          <w:szCs w:val="24"/>
          <w:highlight w:val="white"/>
        </w:rPr>
        <w:t xml:space="preserve">a </w:t>
      </w:r>
      <w:r>
        <w:rPr>
          <w:rFonts w:cs="Arial" w:cstheme="majorHAnsi"/>
          <w:b/>
          <w:sz w:val="24"/>
          <w:szCs w:val="24"/>
          <w:highlight w:val="white"/>
        </w:rPr>
        <w:t>________________________</w:t>
      </w:r>
      <w:r>
        <w:rPr>
          <w:rFonts w:cs="Arial" w:cstheme="majorHAnsi"/>
          <w:sz w:val="24"/>
          <w:szCs w:val="24"/>
          <w:highlight w:val="white"/>
        </w:rPr>
        <w:t xml:space="preserve">, inscrita no CNPJ sob o nº </w:t>
      </w:r>
      <w:r>
        <w:rPr>
          <w:rFonts w:cs="Arial" w:cstheme="majorHAnsi"/>
          <w:b/>
          <w:sz w:val="24"/>
          <w:szCs w:val="24"/>
          <w:highlight w:val="white"/>
        </w:rPr>
        <w:t>________________________</w:t>
      </w:r>
      <w:r>
        <w:rPr>
          <w:rFonts w:cs="Arial" w:cstheme="majorHAnsi"/>
          <w:sz w:val="24"/>
          <w:szCs w:val="24"/>
          <w:highlight w:val="white"/>
        </w:rPr>
        <w:t xml:space="preserve">, </w:t>
      </w:r>
      <w:sdt>
        <w:sdtPr>
          <w:id w:val="1281783847"/>
        </w:sdtPr>
        <w:sdtContent>
          <w:r>
            <w:rPr>
              <w:rFonts w:cs="Arial" w:cstheme="majorHAnsi"/>
              <w:sz w:val="24"/>
              <w:szCs w:val="24"/>
              <w:highlight w:val="white"/>
            </w:rPr>
            <w:t xml:space="preserve">sediada </w:t>
          </w:r>
          <w:r>
            <w:rPr>
              <w:rFonts w:cs="Arial" w:cstheme="majorHAnsi"/>
              <w:b/>
              <w:sz w:val="24"/>
              <w:szCs w:val="24"/>
              <w:highlight w:val="white"/>
            </w:rPr>
            <w:t>________________________</w:t>
          </w:r>
          <w:r>
            <w:rPr>
              <w:rFonts w:cs="Arial" w:cstheme="majorHAnsi"/>
              <w:sz w:val="24"/>
              <w:szCs w:val="24"/>
              <w:highlight w:val="white"/>
            </w:rPr>
            <w:t xml:space="preserve">, Setor </w:t>
          </w:r>
          <w:r>
            <w:rPr>
              <w:rFonts w:cs="Arial" w:cstheme="majorHAnsi"/>
              <w:b/>
              <w:sz w:val="24"/>
              <w:szCs w:val="24"/>
              <w:highlight w:val="white"/>
            </w:rPr>
            <w:t>________________________</w:t>
          </w:r>
          <w:r>
            <w:rPr>
              <w:rFonts w:cs="Arial" w:cstheme="majorHAnsi"/>
              <w:sz w:val="24"/>
              <w:szCs w:val="24"/>
              <w:highlight w:val="white"/>
            </w:rPr>
            <w:t xml:space="preserve">, CEP (Cidade) </w:t>
          </w:r>
          <w:r>
            <w:rPr>
              <w:rFonts w:cs="Arial" w:cstheme="majorHAnsi"/>
              <w:b/>
              <w:sz w:val="24"/>
              <w:szCs w:val="24"/>
              <w:highlight w:val="white"/>
            </w:rPr>
            <w:t>________________________</w:t>
          </w:r>
          <w:r>
            <w:rPr>
              <w:rFonts w:cs="Arial" w:cstheme="majorHAnsi"/>
              <w:sz w:val="24"/>
              <w:szCs w:val="24"/>
              <w:highlight w:val="white"/>
            </w:rPr>
            <w:t xml:space="preserve">, </w:t>
          </w:r>
          <w:r>
            <w:rPr>
              <w:rFonts w:cs="Arial" w:cstheme="majorHAnsi"/>
              <w:b/>
              <w:sz w:val="24"/>
              <w:szCs w:val="24"/>
              <w:highlight w:val="white"/>
            </w:rPr>
            <w:t>________________________</w:t>
          </w:r>
          <w:r>
            <w:rPr>
              <w:rFonts w:cs="Arial" w:cstheme="majorHAnsi"/>
              <w:sz w:val="24"/>
              <w:szCs w:val="24"/>
              <w:highlight w:val="white"/>
            </w:rPr>
            <w:t xml:space="preserve">, neste ato representado legalmente </w:t>
          </w:r>
          <w:r>
            <w:rPr>
              <w:rFonts w:cs="Arial" w:cstheme="majorHAnsi"/>
              <w:b/>
              <w:bCs/>
              <w:sz w:val="24"/>
              <w:szCs w:val="24"/>
              <w:highlight w:val="white"/>
            </w:rPr>
            <w:t>________________________</w:t>
          </w:r>
          <w:r>
            <w:rPr>
              <w:rFonts w:cs="Arial" w:cstheme="majorHAnsi"/>
              <w:sz w:val="24"/>
              <w:szCs w:val="24"/>
              <w:highlight w:val="white"/>
            </w:rPr>
            <w:t xml:space="preserve">, nomeado (a) por </w:t>
          </w:r>
          <w:r>
            <w:rPr>
              <w:rFonts w:cs="Arial" w:cstheme="majorHAnsi"/>
              <w:b/>
              <w:bCs/>
              <w:sz w:val="24"/>
              <w:szCs w:val="24"/>
              <w:highlight w:val="white"/>
            </w:rPr>
            <w:t>________________________</w:t>
          </w:r>
          <w:r>
            <w:rPr>
              <w:rFonts w:cs="Arial" w:cstheme="majorHAnsi"/>
              <w:sz w:val="24"/>
              <w:szCs w:val="24"/>
              <w:highlight w:val="white"/>
            </w:rPr>
            <w:t xml:space="preserve">  RG nº </w:t>
          </w:r>
          <w:r>
            <w:rPr>
              <w:rFonts w:cs="Arial" w:cstheme="majorHAnsi"/>
              <w:b/>
              <w:sz w:val="24"/>
              <w:szCs w:val="24"/>
              <w:highlight w:val="white"/>
            </w:rPr>
            <w:t>________________________</w:t>
          </w:r>
          <w:r>
            <w:rPr>
              <w:rFonts w:cs="Arial" w:cstheme="majorHAnsi"/>
              <w:sz w:val="24"/>
              <w:szCs w:val="24"/>
              <w:highlight w:val="white"/>
            </w:rPr>
            <w:t>,  CPF nº</w:t>
          </w:r>
          <w:r>
            <w:rPr>
              <w:rFonts w:cs="Arial" w:cstheme="majorHAnsi"/>
              <w:b/>
              <w:sz w:val="24"/>
              <w:szCs w:val="24"/>
              <w:highlight w:val="white"/>
            </w:rPr>
            <w:t>________________________</w:t>
          </w:r>
          <w:r>
            <w:rPr>
              <w:rFonts w:cs="Arial" w:cstheme="majorHAnsi"/>
              <w:sz w:val="24"/>
              <w:szCs w:val="24"/>
              <w:highlight w:val="white"/>
            </w:rPr>
            <w:t xml:space="preserve">, </w:t>
          </w:r>
          <w:r>
            <w:rPr>
              <w:rFonts w:cs="Arial" w:cstheme="majorHAnsi"/>
              <w:sz w:val="24"/>
              <w:szCs w:val="24"/>
              <w:highlight w:val="white"/>
            </w:rPr>
            <w:t>residente e domiciliado em</w:t>
          </w:r>
          <w:r>
            <w:rPr>
              <w:rFonts w:cs="Arial" w:cstheme="majorHAnsi"/>
              <w:b/>
              <w:sz w:val="24"/>
              <w:szCs w:val="24"/>
              <w:highlight w:val="white"/>
            </w:rPr>
            <w:t>________________________</w:t>
          </w:r>
          <w:r>
            <w:rPr>
              <w:rFonts w:cs="Arial" w:cstheme="majorHAnsi"/>
              <w:sz w:val="24"/>
              <w:szCs w:val="24"/>
              <w:highlight w:val="white"/>
            </w:rPr>
            <w:t>doravante denominado (a)</w:t>
          </w:r>
          <w:r>
            <w:rPr>
              <w:rFonts w:cs="Arial" w:cstheme="majorHAnsi"/>
              <w:b/>
              <w:sz w:val="24"/>
              <w:szCs w:val="24"/>
              <w:highlight w:val="white"/>
            </w:rPr>
            <w:t xml:space="preserve"> ________________________</w:t>
          </w:r>
          <w:r>
            <w:rPr>
              <w:rFonts w:eastAsia="Times New Roman" w:cs="Arial"/>
              <w:b/>
              <w:color w:val="auto"/>
              <w:kern w:val="0"/>
              <w:sz w:val="24"/>
              <w:szCs w:val="24"/>
              <w:lang w:val="pt-BR" w:eastAsia="ar-SA" w:bidi="ar-SA"/>
            </w:rPr>
            <w:t>.</w:t>
          </w:r>
        </w:sdtContent>
      </w:sdt>
    </w:p>
    <w:p>
      <w:pPr>
        <w:pStyle w:val="Normal"/>
        <w:spacing w:lineRule="auto" w:line="360" w:before="0" w:after="0"/>
        <w:ind w:left="0" w:right="0" w:hanging="0"/>
        <w:contextualSpacing/>
        <w:rPr>
          <w:rFonts w:eastAsia="Times New Roman" w:cs="Arial"/>
          <w:b/>
          <w:b/>
          <w:color w:val="auto"/>
          <w:kern w:val="0"/>
          <w:lang w:val="pt-BR" w:eastAsia="ar-SA" w:bidi="ar-SA"/>
        </w:rPr>
      </w:pPr>
      <w:r>
        <w:rPr>
          <w:rFonts w:eastAsia="Times New Roman" w:cs="Arial"/>
          <w:b/>
          <w:color w:val="auto"/>
          <w:kern w:val="0"/>
          <w:lang w:val="pt-BR" w:eastAsia="ar-SA" w:bidi="ar-SA"/>
        </w:rPr>
      </w:r>
    </w:p>
    <w:p>
      <w:pPr>
        <w:pStyle w:val="Normal"/>
        <w:spacing w:lineRule="auto" w:line="240" w:before="0" w:after="0"/>
        <w:ind w:left="0" w:right="0" w:hanging="0"/>
        <w:contextualSpacing/>
        <w:rPr>
          <w:rFonts w:ascii="Arial" w:hAnsi="Arial"/>
          <w:b w:val="false"/>
          <w:b w:val="false"/>
          <w:bCs w:val="false"/>
          <w:sz w:val="24"/>
          <w:szCs w:val="24"/>
        </w:rPr>
      </w:pPr>
      <w:r>
        <w:rPr>
          <w:rFonts w:ascii="Arial" w:hAnsi="Arial"/>
          <w:b w:val="false"/>
          <w:bCs w:val="false"/>
          <w:sz w:val="24"/>
          <w:szCs w:val="24"/>
        </w:rPr>
        <w:t xml:space="preserve">RESOLVEM </w:t>
      </w:r>
      <w:r>
        <w:rPr>
          <w:rFonts w:eastAsia="Times New Roman" w:cs="Arial" w:ascii="Arial" w:hAnsi="Arial"/>
          <w:b w:val="false"/>
          <w:bCs w:val="false"/>
          <w:color w:val="auto"/>
          <w:kern w:val="0"/>
          <w:sz w:val="24"/>
          <w:szCs w:val="24"/>
          <w:lang w:val="pt-BR" w:eastAsia="ar-SA" w:bidi="ar-SA"/>
        </w:rPr>
        <w:t>celebrar</w:t>
      </w:r>
      <w:r>
        <w:rPr>
          <w:rFonts w:ascii="Arial" w:hAnsi="Arial"/>
          <w:b w:val="false"/>
          <w:bCs w:val="false"/>
          <w:sz w:val="24"/>
          <w:szCs w:val="24"/>
        </w:rPr>
        <w:t xml:space="preserve"> o presente </w:t>
      </w:r>
      <w:r>
        <w:rPr>
          <w:rFonts w:ascii="Arial" w:hAnsi="Arial"/>
          <w:b/>
          <w:bCs/>
          <w:sz w:val="24"/>
          <w:szCs w:val="24"/>
        </w:rPr>
        <w:t>Acordo de Cooperação Técnica</w:t>
      </w:r>
      <w:r>
        <w:rPr>
          <w:rFonts w:ascii="Arial" w:hAnsi="Arial"/>
          <w:b w:val="false"/>
          <w:bCs w:val="false"/>
          <w:sz w:val="24"/>
          <w:szCs w:val="24"/>
        </w:rPr>
        <w:t xml:space="preserve">, tendo em vista o que consta do Processo nº </w:t>
      </w:r>
      <w:r>
        <w:rPr>
          <w:rFonts w:cs="Arial" w:ascii="Arial" w:hAnsi="Arial" w:cstheme="majorHAnsi"/>
          <w:b w:val="false"/>
          <w:bCs w:val="false"/>
          <w:sz w:val="24"/>
          <w:szCs w:val="24"/>
          <w:highlight w:val="white"/>
        </w:rPr>
        <w:t>________________________</w:t>
      </w:r>
      <w:r>
        <w:rPr>
          <w:rFonts w:ascii="Arial" w:hAnsi="Arial"/>
          <w:b w:val="false"/>
          <w:bCs w:val="false"/>
          <w:i w:val="false"/>
          <w:caps w:val="false"/>
          <w:smallCaps w:val="false"/>
          <w:color w:val="292929"/>
          <w:spacing w:val="0"/>
          <w:sz w:val="24"/>
          <w:szCs w:val="24"/>
        </w:rPr>
        <w:t xml:space="preserve"> </w:t>
      </w:r>
      <w:r>
        <w:rPr>
          <w:rFonts w:ascii="Arial" w:hAnsi="Arial"/>
          <w:b w:val="false"/>
          <w:bCs w:val="false"/>
          <w:i w:val="false"/>
          <w:iCs w:val="false"/>
          <w:caps w:val="false"/>
          <w:smallCaps w:val="false"/>
          <w:color w:val="FF0000"/>
          <w:spacing w:val="0"/>
          <w:sz w:val="24"/>
          <w:szCs w:val="24"/>
        </w:rPr>
        <w:t xml:space="preserve"> </w:t>
      </w:r>
      <w:r>
        <w:rPr>
          <w:rFonts w:ascii="Arial" w:hAnsi="Arial"/>
          <w:b w:val="false"/>
          <w:bCs w:val="false"/>
          <w:i w:val="false"/>
          <w:iCs w:val="false"/>
          <w:caps w:val="false"/>
          <w:smallCaps w:val="false"/>
          <w:color w:val="292929"/>
          <w:spacing w:val="0"/>
          <w:sz w:val="24"/>
          <w:szCs w:val="24"/>
        </w:rPr>
        <w:t>e em observância às disposições da Lei nº 14.133 de 2021, do Decreto nº 11.531, de 2023</w:t>
      </w:r>
      <w:r>
        <w:rPr>
          <w:rFonts w:ascii="Arial" w:hAnsi="Arial"/>
          <w:b w:val="false"/>
          <w:bCs w:val="false"/>
          <w:i w:val="false"/>
          <w:iCs w:val="false"/>
          <w:caps w:val="false"/>
          <w:smallCaps w:val="false"/>
          <w:color w:val="FF0000"/>
          <w:spacing w:val="0"/>
          <w:sz w:val="24"/>
          <w:szCs w:val="24"/>
        </w:rPr>
        <w:t xml:space="preserve"> </w:t>
      </w:r>
      <w:r>
        <w:rPr>
          <w:rFonts w:ascii="Arial" w:hAnsi="Arial"/>
          <w:b w:val="false"/>
          <w:bCs w:val="false"/>
          <w:i w:val="false"/>
          <w:iCs w:val="false"/>
          <w:caps w:val="false"/>
          <w:smallCaps w:val="false"/>
          <w:color w:val="292929"/>
          <w:spacing w:val="0"/>
          <w:sz w:val="24"/>
          <w:szCs w:val="24"/>
        </w:rPr>
        <w:t>e suas alterações, mediante as cláusulas e condições a seguir:</w:t>
      </w:r>
    </w:p>
    <w:p>
      <w:pPr>
        <w:pStyle w:val="Normal"/>
        <w:spacing w:lineRule="auto" w:line="240" w:before="0" w:after="0"/>
        <w:ind w:left="0" w:right="0" w:hanging="0"/>
        <w:contextualSpacing/>
        <w:rPr>
          <w:rFonts w:ascii="Arial" w:hAnsi="Arial"/>
          <w:sz w:val="24"/>
          <w:szCs w:val="24"/>
          <w:highlight w:val="black"/>
        </w:rPr>
      </w:pPr>
      <w:r>
        <w:rPr>
          <w:sz w:val="24"/>
          <w:szCs w:val="24"/>
          <w:highlight w:val="black"/>
        </w:rPr>
      </w:r>
    </w:p>
    <w:p>
      <w:pPr>
        <w:pStyle w:val="Normal"/>
        <w:spacing w:lineRule="auto" w:line="240" w:before="0" w:after="0"/>
        <w:ind w:firstLine="708"/>
        <w:contextualSpacing/>
        <w:jc w:val="both"/>
        <w:rPr>
          <w:rFonts w:ascii="Swis721 Lt BT" w:hAnsi="Swis721 Lt BT"/>
          <w:sz w:val="24"/>
          <w:szCs w:val="24"/>
        </w:rPr>
      </w:pPr>
      <w:r>
        <w:rPr/>
      </w:r>
    </w:p>
    <w:p>
      <w:pPr>
        <w:pStyle w:val="Normal"/>
        <w:spacing w:lineRule="auto" w:line="240" w:before="0" w:after="0"/>
        <w:ind w:hanging="0"/>
        <w:contextualSpacing/>
        <w:jc w:val="both"/>
        <w:rPr>
          <w:rFonts w:ascii="Arial" w:hAnsi="Arial"/>
          <w:sz w:val="18"/>
          <w:szCs w:val="18"/>
        </w:rPr>
      </w:pPr>
      <w:r>
        <w:rPr>
          <w:rFonts w:ascii="Arial" w:hAnsi="Arial"/>
          <w:sz w:val="18"/>
          <w:szCs w:val="18"/>
        </w:rPr>
      </w:r>
    </w:p>
    <w:p>
      <w:pPr>
        <w:pStyle w:val="Normal"/>
        <w:pBdr>
          <w:top w:val="single" w:sz="4" w:space="1" w:color="000000"/>
          <w:left w:val="single" w:sz="4" w:space="4" w:color="000000"/>
          <w:bottom w:val="single" w:sz="4" w:space="1" w:color="000000"/>
          <w:right w:val="single" w:sz="4" w:space="4" w:color="000000"/>
        </w:pBdr>
        <w:ind w:hanging="0"/>
        <w:jc w:val="both"/>
        <w:rPr>
          <w:rFonts w:ascii="Arial" w:hAnsi="Arial"/>
          <w:b w:val="false"/>
          <w:b w:val="false"/>
          <w:bCs w:val="false"/>
          <w:sz w:val="18"/>
          <w:szCs w:val="18"/>
        </w:rPr>
      </w:pPr>
      <w:r>
        <w:rPr>
          <w:rFonts w:ascii="Arial" w:hAnsi="Arial"/>
          <w:b/>
          <w:bCs/>
          <w:sz w:val="18"/>
          <w:szCs w:val="18"/>
        </w:rPr>
        <w:t xml:space="preserve">Nota Explicativa: </w:t>
      </w:r>
      <w:r>
        <w:rPr>
          <w:rFonts w:ascii="Arial" w:hAnsi="Arial"/>
          <w:b w:val="false"/>
          <w:bCs w:val="false"/>
          <w:sz w:val="18"/>
          <w:szCs w:val="18"/>
        </w:rPr>
        <w:t>O Acordo de Cooperação Técnica é regulamentado pelo art. 184 da Lei nº 14.133, de 2021, que expressa que se aplica a mencionada Lei “</w:t>
      </w:r>
      <w:r>
        <w:rPr>
          <w:rFonts w:ascii="Arial" w:hAnsi="Arial"/>
          <w:b w:val="false"/>
          <w:bCs w:val="false"/>
          <w:i/>
          <w:iCs/>
          <w:sz w:val="18"/>
          <w:szCs w:val="18"/>
        </w:rPr>
        <w:t>no que couber e na ausência de norma específica, aos convênios, acordos, ajustes e outros instrumentos congêneres celebrados por órgãos e entidades da Administração Pública, na forma estabelecida em regulamento do Poder Executivo federal</w:t>
      </w:r>
      <w:r>
        <w:rPr>
          <w:rFonts w:ascii="Arial" w:hAnsi="Arial"/>
          <w:b w:val="false"/>
          <w:bCs w:val="false"/>
          <w:sz w:val="18"/>
          <w:szCs w:val="18"/>
        </w:rPr>
        <w:t xml:space="preserve">”. </w:t>
      </w:r>
    </w:p>
    <w:p>
      <w:pPr>
        <w:pStyle w:val="Normal"/>
        <w:pBdr>
          <w:top w:val="single" w:sz="4" w:space="1" w:color="000000"/>
          <w:left w:val="single" w:sz="4" w:space="4" w:color="000000"/>
          <w:bottom w:val="single" w:sz="4" w:space="1" w:color="000000"/>
          <w:right w:val="single" w:sz="4" w:space="4" w:color="000000"/>
        </w:pBdr>
        <w:ind w:hanging="0"/>
        <w:jc w:val="both"/>
        <w:rPr>
          <w:rFonts w:ascii="Arial" w:hAnsi="Arial"/>
          <w:b w:val="false"/>
          <w:b w:val="false"/>
          <w:bCs w:val="false"/>
          <w:sz w:val="18"/>
          <w:szCs w:val="18"/>
        </w:rPr>
      </w:pPr>
      <w:r>
        <w:rPr>
          <w:rFonts w:ascii="Arial" w:hAnsi="Arial"/>
          <w:b w:val="false"/>
          <w:bCs w:val="false"/>
          <w:sz w:val="18"/>
          <w:szCs w:val="18"/>
        </w:rPr>
        <w:t>Regulamentando o dispositivo, o Decreto nº 11.531, de 16 de maio de 2023 estabelece que:</w:t>
      </w:r>
    </w:p>
    <w:p>
      <w:pPr>
        <w:pStyle w:val="Normal"/>
        <w:pBdr>
          <w:top w:val="single" w:sz="4" w:space="1" w:color="000000"/>
          <w:left w:val="single" w:sz="4" w:space="4" w:color="000000"/>
          <w:bottom w:val="single" w:sz="4" w:space="1" w:color="000000"/>
          <w:right w:val="single" w:sz="4" w:space="4" w:color="000000"/>
        </w:pBdr>
        <w:jc w:val="both"/>
        <w:rPr>
          <w:rFonts w:ascii="Arial" w:hAnsi="Arial"/>
          <w:b w:val="false"/>
          <w:b w:val="false"/>
          <w:bCs w:val="false"/>
          <w:sz w:val="18"/>
          <w:szCs w:val="18"/>
        </w:rPr>
      </w:pPr>
      <w:r>
        <w:rPr>
          <w:rFonts w:ascii="Arial" w:hAnsi="Arial"/>
          <w:b w:val="false"/>
          <w:bCs w:val="false"/>
          <w:i/>
          <w:iCs/>
          <w:sz w:val="18"/>
          <w:szCs w:val="18"/>
        </w:rPr>
        <w:t>Art. 24.  Os órgãos e as entidades da administração pública federal poderão celebrar, a título gratuito, sem transferência de recursos e doação de bens materiais, os seguintes instrumentos de cooperação para execução descentralizada de políticas públicas de interesse recíproco e em mútua colaboração:</w:t>
      </w:r>
    </w:p>
    <w:p>
      <w:pPr>
        <w:pStyle w:val="Normal"/>
        <w:pBdr>
          <w:top w:val="single" w:sz="4" w:space="1" w:color="000000"/>
          <w:left w:val="single" w:sz="4" w:space="4" w:color="000000"/>
          <w:bottom w:val="single" w:sz="4" w:space="1" w:color="000000"/>
          <w:right w:val="single" w:sz="4" w:space="4" w:color="000000"/>
        </w:pBdr>
        <w:jc w:val="both"/>
        <w:rPr>
          <w:rFonts w:ascii="Arial" w:hAnsi="Arial"/>
          <w:b w:val="false"/>
          <w:b w:val="false"/>
          <w:bCs w:val="false"/>
          <w:sz w:val="18"/>
          <w:szCs w:val="18"/>
        </w:rPr>
      </w:pPr>
      <w:r>
        <w:rPr>
          <w:rFonts w:ascii="Arial" w:hAnsi="Arial"/>
          <w:b w:val="false"/>
          <w:bCs w:val="false"/>
          <w:i/>
          <w:iCs/>
          <w:sz w:val="18"/>
          <w:szCs w:val="18"/>
        </w:rPr>
        <w:t>I - acordo de cooperação técnica, na hipótese de o objeto e as condições da cooperação serem ajustados de comum acordo entre as partes; ou</w:t>
      </w:r>
    </w:p>
    <w:p>
      <w:pPr>
        <w:pStyle w:val="Normal"/>
        <w:pBdr>
          <w:top w:val="single" w:sz="4" w:space="1" w:color="000000"/>
          <w:left w:val="single" w:sz="4" w:space="4" w:color="000000"/>
          <w:bottom w:val="single" w:sz="4" w:space="1" w:color="000000"/>
          <w:right w:val="single" w:sz="4" w:space="4" w:color="000000"/>
        </w:pBdr>
        <w:jc w:val="both"/>
        <w:rPr>
          <w:rFonts w:ascii="Arial" w:hAnsi="Arial"/>
          <w:b w:val="false"/>
          <w:b w:val="false"/>
          <w:bCs w:val="false"/>
          <w:sz w:val="18"/>
          <w:szCs w:val="18"/>
        </w:rPr>
      </w:pPr>
      <w:r>
        <w:rPr>
          <w:rFonts w:ascii="Arial" w:hAnsi="Arial"/>
          <w:b w:val="false"/>
          <w:bCs w:val="false"/>
          <w:i/>
          <w:iCs/>
          <w:sz w:val="18"/>
          <w:szCs w:val="18"/>
        </w:rPr>
        <w:t>(...)</w:t>
      </w:r>
    </w:p>
    <w:p>
      <w:pPr>
        <w:pStyle w:val="Normal"/>
        <w:pBdr>
          <w:top w:val="single" w:sz="4" w:space="1" w:color="000000"/>
          <w:left w:val="single" w:sz="4" w:space="4" w:color="000000"/>
          <w:bottom w:val="single" w:sz="4" w:space="1" w:color="000000"/>
          <w:right w:val="single" w:sz="4" w:space="4" w:color="000000"/>
        </w:pBdr>
        <w:spacing w:lineRule="auto" w:line="360" w:before="0" w:after="0"/>
        <w:ind w:left="0" w:right="0" w:hanging="0"/>
        <w:contextualSpacing/>
        <w:jc w:val="both"/>
        <w:rPr>
          <w:rFonts w:ascii="Arial" w:hAnsi="Arial"/>
          <w:b w:val="false"/>
          <w:b w:val="false"/>
          <w:bCs w:val="false"/>
          <w:sz w:val="18"/>
          <w:szCs w:val="18"/>
        </w:rPr>
      </w:pPr>
      <w:r>
        <w:rPr>
          <w:rFonts w:ascii="Arial" w:hAnsi="Arial"/>
          <w:b w:val="false"/>
          <w:bCs w:val="false"/>
          <w:i w:val="false"/>
          <w:iCs w:val="false"/>
          <w:sz w:val="18"/>
          <w:szCs w:val="18"/>
        </w:rPr>
        <w:t>Considerando que o Acordo de Cooperação não envolve repasse de recurso financeiro, ao mesmo somente se aplicam outras disposições normativas da Lei nº 14.133, de 2021, naquilo que sejam compatíveis com tal especificidade.</w:t>
      </w:r>
    </w:p>
    <w:p>
      <w:pPr>
        <w:pStyle w:val="Normal"/>
        <w:spacing w:lineRule="auto" w:line="360" w:before="0" w:after="0"/>
        <w:ind w:left="0" w:right="0" w:hanging="0"/>
        <w:contextualSpacing/>
        <w:rPr>
          <w:b/>
          <w:b/>
          <w:i w:val="false"/>
          <w:i w:val="false"/>
          <w:iCs w:val="false"/>
          <w:sz w:val="24"/>
          <w:szCs w:val="24"/>
        </w:rPr>
      </w:pPr>
      <w:r>
        <w:rPr/>
      </w:r>
    </w:p>
    <w:p>
      <w:pPr>
        <w:pStyle w:val="Normal"/>
        <w:spacing w:lineRule="auto" w:line="360" w:before="0" w:after="0"/>
        <w:ind w:left="0" w:right="0" w:hanging="0"/>
        <w:contextualSpacing/>
        <w:rPr>
          <w:rFonts w:ascii="Arial" w:hAnsi="Arial"/>
          <w:i w:val="false"/>
          <w:i w:val="false"/>
          <w:iCs w:val="false"/>
          <w:sz w:val="24"/>
          <w:szCs w:val="24"/>
        </w:rPr>
      </w:pPr>
      <w:r>
        <w:rPr>
          <w:b/>
          <w:i w:val="false"/>
          <w:iCs w:val="false"/>
          <w:sz w:val="24"/>
          <w:szCs w:val="24"/>
        </w:rPr>
        <w:t>CLÁUSULA PRIMEIRA</w:t>
      </w:r>
      <w:r>
        <w:rPr>
          <w:rFonts w:cs="Arial"/>
          <w:b/>
          <w:bCs w:val="false"/>
          <w:i w:val="false"/>
          <w:iCs w:val="false"/>
          <w:sz w:val="24"/>
          <w:szCs w:val="24"/>
        </w:rPr>
        <w:t xml:space="preserve"> - DO OBJETO</w:t>
      </w:r>
    </w:p>
    <w:p>
      <w:pPr>
        <w:pStyle w:val="Normal"/>
        <w:spacing w:lineRule="auto" w:line="360" w:before="0" w:after="0"/>
        <w:ind w:left="0" w:right="0" w:hanging="0"/>
        <w:contextualSpacing/>
        <w:rPr/>
      </w:pPr>
      <w:r>
        <w:rPr>
          <w:b w:val="false"/>
          <w:bCs w:val="false"/>
          <w:i w:val="false"/>
          <w:iCs w:val="false"/>
          <w:sz w:val="24"/>
          <w:szCs w:val="24"/>
        </w:rPr>
        <w:t xml:space="preserve">O objeto do presente </w:t>
      </w:r>
      <w:r>
        <w:rPr>
          <w:i w:val="false"/>
          <w:iCs w:val="false"/>
          <w:sz w:val="24"/>
          <w:szCs w:val="24"/>
        </w:rPr>
        <w:t xml:space="preserve">Acordo de Cooperação Técnica é a </w:t>
      </w:r>
      <w:r>
        <w:rPr>
          <w:rFonts w:eastAsia="Times New Roman" w:cs="Arial"/>
          <w:i w:val="false"/>
          <w:iCs w:val="false"/>
          <w:color w:val="auto"/>
          <w:kern w:val="0"/>
          <w:sz w:val="24"/>
          <w:szCs w:val="24"/>
          <w:lang w:val="pt-BR" w:eastAsia="ar-SA" w:bidi="ar-SA"/>
        </w:rPr>
        <w:t xml:space="preserve">execução de </w:t>
      </w:r>
      <w:r>
        <w:rPr>
          <w:rFonts w:eastAsia="Times New Roman" w:cs="Arial"/>
          <w:i w:val="false"/>
          <w:iCs w:val="false"/>
          <w:color w:val="C9211E"/>
          <w:kern w:val="0"/>
          <w:sz w:val="24"/>
          <w:szCs w:val="24"/>
          <w:lang w:val="pt-BR" w:eastAsia="ar-SA" w:bidi="ar-SA"/>
        </w:rPr>
        <w:t>(</w:t>
      </w:r>
      <w:r>
        <w:rPr>
          <w:rFonts w:eastAsia="Times New Roman" w:cs="Arial"/>
          <w:i/>
          <w:iCs/>
          <w:color w:val="C9211E"/>
          <w:kern w:val="0"/>
          <w:sz w:val="24"/>
          <w:szCs w:val="24"/>
          <w:lang w:val="pt-BR" w:eastAsia="ar-SA" w:bidi="ar-SA"/>
        </w:rPr>
        <w:t>descrever o produto final do acordo, de forma completa e clara, de modo a não suscitar duplicidade de interpretação)</w:t>
      </w:r>
      <w:r>
        <w:rPr>
          <w:rFonts w:eastAsia="Times New Roman" w:cs="Arial"/>
          <w:i w:val="false"/>
          <w:iCs w:val="false"/>
          <w:color w:val="auto"/>
          <w:kern w:val="0"/>
          <w:sz w:val="24"/>
          <w:szCs w:val="24"/>
          <w:lang w:val="pt-BR" w:eastAsia="ar-SA" w:bidi="ar-SA"/>
        </w:rPr>
        <w:t xml:space="preserve">, a ser executado no </w:t>
      </w:r>
      <w:r>
        <w:rPr>
          <w:rFonts w:eastAsia="Times New Roman" w:cs="Arial"/>
          <w:i/>
          <w:iCs/>
          <w:color w:val="C9211E"/>
          <w:kern w:val="0"/>
          <w:sz w:val="24"/>
          <w:szCs w:val="24"/>
          <w:lang w:val="pt-BR" w:eastAsia="ar-SA" w:bidi="ar-SA"/>
        </w:rPr>
        <w:t>(local de execução do objeto)</w:t>
      </w:r>
      <w:r>
        <w:rPr>
          <w:rFonts w:eastAsia="Times New Roman" w:cs="Arial"/>
          <w:i w:val="false"/>
          <w:iCs w:val="false"/>
          <w:color w:val="auto"/>
          <w:kern w:val="0"/>
          <w:sz w:val="24"/>
          <w:szCs w:val="24"/>
          <w:lang w:val="pt-BR" w:eastAsia="ar-SA" w:bidi="ar-SA"/>
        </w:rPr>
        <w:t>, conforme especificações estabelecidas no Plano de Trabalho em anexo.</w:t>
      </w:r>
    </w:p>
    <w:p>
      <w:pPr>
        <w:pStyle w:val="Normal"/>
        <w:spacing w:lineRule="auto" w:line="360" w:before="0" w:after="0"/>
        <w:ind w:left="0" w:right="0" w:hanging="0"/>
        <w:contextualSpacing/>
        <w:rPr>
          <w:rFonts w:ascii="Arial" w:hAnsi="Arial" w:eastAsia="Times New Roman" w:cs="Arial"/>
          <w:i w:val="false"/>
          <w:i w:val="false"/>
          <w:iCs w:val="false"/>
          <w:color w:val="auto"/>
          <w:kern w:val="0"/>
          <w:sz w:val="18"/>
          <w:szCs w:val="18"/>
          <w:lang w:val="pt-BR" w:eastAsia="ar-SA" w:bidi="ar-SA"/>
        </w:rPr>
      </w:pPr>
      <w:r>
        <w:rPr>
          <w:rFonts w:eastAsia="Times New Roman" w:cs="Arial" w:ascii="Arial" w:hAnsi="Arial"/>
          <w:i w:val="false"/>
          <w:iCs w:val="false"/>
          <w:color w:val="auto"/>
          <w:kern w:val="0"/>
          <w:sz w:val="18"/>
          <w:szCs w:val="18"/>
          <w:lang w:val="pt-BR" w:eastAsia="ar-SA" w:bidi="ar-SA"/>
        </w:rPr>
      </w:r>
    </w:p>
    <w:p>
      <w:pPr>
        <w:pStyle w:val="Normal"/>
        <w:pBdr>
          <w:top w:val="single" w:sz="4" w:space="1" w:color="000000"/>
          <w:left w:val="single" w:sz="4" w:space="4" w:color="000000"/>
          <w:bottom w:val="single" w:sz="4" w:space="1" w:color="000000"/>
          <w:right w:val="single" w:sz="4" w:space="4" w:color="000000"/>
        </w:pBdr>
        <w:ind w:hanging="0"/>
        <w:jc w:val="both"/>
        <w:rPr>
          <w:rFonts w:ascii="Arial" w:hAnsi="Arial"/>
          <w:sz w:val="18"/>
          <w:szCs w:val="18"/>
        </w:rPr>
      </w:pPr>
      <w:r>
        <w:rPr>
          <w:rFonts w:ascii="Arial" w:hAnsi="Arial"/>
          <w:b/>
          <w:bCs/>
          <w:sz w:val="18"/>
          <w:szCs w:val="18"/>
        </w:rPr>
        <w:t>Nota Explicativa 1:</w:t>
      </w:r>
      <w:r>
        <w:rPr>
          <w:rFonts w:ascii="Arial" w:hAnsi="Arial"/>
          <w:sz w:val="18"/>
          <w:szCs w:val="18"/>
        </w:rPr>
        <w:t xml:space="preserve"> O objeto do Acordo de Cooperação pode abranger uma infinidade de atividades, que sejam de competência comum dos entes envolvidos ou que seja própria de um deles, servindo de instrumental para ação do outro. A título exemplificativo, convém citar: a realização conjunta de pesquisas; a promoção de atividades conjuntas de educação; a troca de informações e dados úteis e/ou necessários para os desempenhos das competências; a elaboração de diagnósticos e relatórios, o intercâmbio de servidores públicos para ações específicas e por prazo determinado, que não configurem cessão; a troca e cessão de insumos; o compartilhamento de materiais e tecnologias, dentre outros. </w:t>
      </w:r>
    </w:p>
    <w:p>
      <w:pPr>
        <w:pStyle w:val="Normal"/>
        <w:pBdr>
          <w:top w:val="single" w:sz="4" w:space="1" w:color="000000"/>
          <w:left w:val="single" w:sz="4" w:space="4" w:color="000000"/>
          <w:bottom w:val="single" w:sz="4" w:space="1" w:color="000000"/>
          <w:right w:val="single" w:sz="4" w:space="4" w:color="000000"/>
        </w:pBdr>
        <w:jc w:val="both"/>
        <w:rPr>
          <w:rFonts w:ascii="Arial" w:hAnsi="Arial"/>
          <w:sz w:val="18"/>
          <w:szCs w:val="18"/>
        </w:rPr>
      </w:pPr>
      <w:r>
        <w:rPr>
          <w:rFonts w:ascii="Arial" w:hAnsi="Arial"/>
          <w:sz w:val="18"/>
          <w:szCs w:val="18"/>
        </w:rPr>
      </w:r>
    </w:p>
    <w:p>
      <w:pPr>
        <w:pStyle w:val="Normal"/>
        <w:pBdr>
          <w:top w:val="single" w:sz="4" w:space="1" w:color="000000"/>
          <w:left w:val="single" w:sz="4" w:space="4" w:color="000000"/>
          <w:bottom w:val="single" w:sz="4" w:space="1" w:color="000000"/>
          <w:right w:val="single" w:sz="4" w:space="4" w:color="000000"/>
        </w:pBdr>
        <w:ind w:hanging="0"/>
        <w:jc w:val="both"/>
        <w:rPr>
          <w:rFonts w:ascii="Arial" w:hAnsi="Arial"/>
          <w:sz w:val="18"/>
          <w:szCs w:val="18"/>
        </w:rPr>
      </w:pPr>
      <w:r>
        <w:rPr>
          <w:rFonts w:ascii="Arial" w:hAnsi="Arial"/>
          <w:b/>
          <w:bCs/>
          <w:sz w:val="18"/>
          <w:szCs w:val="18"/>
        </w:rPr>
        <w:t>Nota Explicativa 2:</w:t>
      </w:r>
      <w:r>
        <w:rPr>
          <w:rFonts w:ascii="Arial" w:hAnsi="Arial"/>
          <w:sz w:val="18"/>
          <w:szCs w:val="18"/>
        </w:rPr>
        <w:t xml:space="preserve"> A descrição do objeto deve ser objetiva, clara e precisa, de modo a se evidenciar o interesse público e recíproco dos envolvidos na parceria. </w:t>
      </w:r>
    </w:p>
    <w:p>
      <w:pPr>
        <w:pStyle w:val="Normal"/>
        <w:spacing w:lineRule="auto" w:line="360" w:before="0" w:after="0"/>
        <w:ind w:left="0" w:right="0" w:hanging="0"/>
        <w:contextualSpacing/>
        <w:jc w:val="both"/>
        <w:rPr>
          <w:rFonts w:ascii="Arial" w:hAnsi="Arial" w:eastAsia="Times New Roman" w:cs="Arial"/>
          <w:i w:val="false"/>
          <w:i w:val="false"/>
          <w:iCs w:val="false"/>
          <w:color w:val="auto"/>
          <w:kern w:val="0"/>
          <w:sz w:val="18"/>
          <w:szCs w:val="18"/>
          <w:lang w:val="pt-BR" w:eastAsia="ar-SA" w:bidi="ar-SA"/>
        </w:rPr>
      </w:pPr>
      <w:r>
        <w:rPr>
          <w:rFonts w:eastAsia="Times New Roman" w:cs="Arial" w:ascii="Arial" w:hAnsi="Arial"/>
          <w:i w:val="false"/>
          <w:iCs w:val="false"/>
          <w:color w:val="auto"/>
          <w:kern w:val="0"/>
          <w:sz w:val="18"/>
          <w:szCs w:val="18"/>
          <w:lang w:val="pt-BR" w:eastAsia="ar-SA" w:bidi="ar-SA"/>
        </w:rPr>
      </w:r>
    </w:p>
    <w:p>
      <w:pPr>
        <w:pStyle w:val="Normal"/>
        <w:spacing w:lineRule="auto" w:line="360" w:before="0" w:after="0"/>
        <w:ind w:left="0" w:right="0" w:hanging="0"/>
        <w:contextualSpacing/>
        <w:rPr>
          <w:rFonts w:ascii="Arial" w:hAnsi="Arial" w:eastAsia="Times New Roman" w:cs="Arial"/>
          <w:i w:val="false"/>
          <w:i w:val="false"/>
          <w:iCs w:val="false"/>
          <w:color w:val="auto"/>
          <w:kern w:val="0"/>
          <w:sz w:val="24"/>
          <w:szCs w:val="24"/>
          <w:lang w:val="pt-BR" w:eastAsia="ar-SA" w:bidi="ar-SA"/>
        </w:rPr>
      </w:pPr>
      <w:r>
        <w:rPr>
          <w:rFonts w:eastAsia="Times New Roman" w:cs="Arial"/>
          <w:i w:val="false"/>
          <w:iCs w:val="false"/>
          <w:color w:val="auto"/>
          <w:kern w:val="0"/>
          <w:sz w:val="24"/>
          <w:szCs w:val="24"/>
          <w:lang w:val="pt-BR" w:eastAsia="ar-SA" w:bidi="ar-SA"/>
        </w:rPr>
      </w:r>
    </w:p>
    <w:p>
      <w:pPr>
        <w:pStyle w:val="Normal"/>
        <w:spacing w:lineRule="auto" w:line="360" w:before="0" w:after="0"/>
        <w:ind w:left="0" w:right="0" w:hanging="0"/>
        <w:contextualSpacing/>
        <w:rPr>
          <w:rFonts w:ascii="Arial" w:hAnsi="Arial"/>
          <w:sz w:val="24"/>
          <w:szCs w:val="24"/>
        </w:rPr>
      </w:pPr>
      <w:r>
        <w:rPr>
          <w:b/>
          <w:sz w:val="24"/>
          <w:szCs w:val="24"/>
          <w:lang w:eastAsia="zh-CN"/>
        </w:rPr>
        <w:t>CLÁUSULA SEGUNDA – D</w:t>
      </w:r>
      <w:r>
        <w:rPr>
          <w:rFonts w:eastAsia="Times New Roman" w:cs="Arial"/>
          <w:b/>
          <w:color w:val="auto"/>
          <w:kern w:val="0"/>
          <w:sz w:val="24"/>
          <w:szCs w:val="24"/>
          <w:lang w:val="pt-BR" w:eastAsia="zh-CN" w:bidi="ar-SA"/>
        </w:rPr>
        <w:t>O PLANO DE TRABALHO</w:t>
      </w:r>
    </w:p>
    <w:p>
      <w:pPr>
        <w:pStyle w:val="Normal"/>
        <w:spacing w:lineRule="auto" w:line="360" w:before="0" w:after="0"/>
        <w:ind w:left="0" w:right="0" w:hanging="0"/>
        <w:contextualSpacing/>
        <w:rPr>
          <w:rFonts w:ascii="Arial" w:hAnsi="Arial"/>
          <w:sz w:val="24"/>
          <w:szCs w:val="24"/>
        </w:rPr>
      </w:pPr>
      <w:r>
        <w:rPr>
          <w:b w:val="false"/>
          <w:bCs w:val="false"/>
          <w:sz w:val="24"/>
          <w:szCs w:val="24"/>
          <w:lang w:eastAsia="zh-CN"/>
        </w:rPr>
        <w:t>Para o alcance do objeto pactuado, os partícipes obrigam-se a cumprir o plano de trabalho que, independente de transcrição, é parte integrante e indissociável do presente Acordo de Cooperação Técnica, bem como toda documentação técnica que dele resulte, cujos dados neles contidos acatam os partícipes.</w:t>
      </w:r>
    </w:p>
    <w:p>
      <w:pPr>
        <w:pStyle w:val="Normal"/>
        <w:spacing w:lineRule="auto" w:line="360" w:before="0" w:after="0"/>
        <w:ind w:left="0" w:right="0" w:hanging="0"/>
        <w:contextualSpacing/>
        <w:rPr>
          <w:rFonts w:eastAsia="Times New Roman" w:cs="Arial"/>
          <w:b/>
          <w:b/>
          <w:bCs w:val="false"/>
          <w:color w:val="auto"/>
          <w:kern w:val="0"/>
          <w:lang w:val="pt-BR" w:eastAsia="zh-CN" w:bidi="ar-SA"/>
        </w:rPr>
      </w:pPr>
      <w:r>
        <w:rPr>
          <w:rFonts w:eastAsia="Times New Roman" w:cs="Arial"/>
          <w:b/>
          <w:bCs w:val="false"/>
          <w:color w:val="auto"/>
          <w:kern w:val="0"/>
          <w:lang w:val="pt-BR" w:eastAsia="zh-CN" w:bidi="ar-SA"/>
        </w:rPr>
      </w:r>
    </w:p>
    <w:p>
      <w:pPr>
        <w:pStyle w:val="Normal"/>
        <w:spacing w:lineRule="auto" w:line="360" w:before="0" w:after="0"/>
        <w:ind w:left="0" w:right="0" w:hanging="0"/>
        <w:contextualSpacing/>
        <w:jc w:val="both"/>
        <w:rPr>
          <w:rFonts w:eastAsia="Times New Roman" w:cs="Arial"/>
          <w:b/>
          <w:b/>
          <w:bCs w:val="false"/>
          <w:color w:val="auto"/>
          <w:kern w:val="0"/>
          <w:sz w:val="24"/>
          <w:szCs w:val="24"/>
          <w:lang w:val="pt-BR" w:eastAsia="zh-CN" w:bidi="ar-SA"/>
        </w:rPr>
      </w:pPr>
      <w:r>
        <w:rPr/>
      </w:r>
    </w:p>
    <w:p>
      <w:pPr>
        <w:pStyle w:val="Normal"/>
        <w:pBdr>
          <w:top w:val="single" w:sz="4" w:space="1" w:color="000000"/>
          <w:left w:val="single" w:sz="4" w:space="4" w:color="000000"/>
          <w:bottom w:val="single" w:sz="4" w:space="1" w:color="000000"/>
          <w:right w:val="single" w:sz="4" w:space="4" w:color="000000"/>
        </w:pBdr>
        <w:ind w:hanging="0"/>
        <w:jc w:val="both"/>
        <w:rPr>
          <w:rFonts w:ascii="Arial" w:hAnsi="Arial"/>
          <w:b w:val="false"/>
          <w:b w:val="false"/>
          <w:bCs w:val="false"/>
          <w:sz w:val="18"/>
          <w:szCs w:val="18"/>
        </w:rPr>
      </w:pPr>
      <w:r>
        <w:rPr>
          <w:rFonts w:ascii="Arial" w:hAnsi="Arial"/>
          <w:b/>
          <w:bCs/>
          <w:sz w:val="18"/>
          <w:szCs w:val="18"/>
        </w:rPr>
        <w:t>Nota Explicativa 1:</w:t>
      </w:r>
      <w:r>
        <w:rPr>
          <w:rFonts w:ascii="Arial" w:hAnsi="Arial"/>
          <w:b w:val="false"/>
          <w:bCs w:val="false"/>
          <w:sz w:val="18"/>
          <w:szCs w:val="18"/>
        </w:rPr>
        <w:t xml:space="preserve"> O plano de trabalho, embora não mencionado do Capítulo III do Decreto nº 11.531, de 2023, é peça técnica compatível e fundamental com instrumento jurídico que cria obrigações jurídicas entre as partes, como é o caso do Acordo de Cooperação Técnica. Nesse cenário, o art. 5º da Lei nº 14.133, de 2021, impõe a observância do princípio do planejamento, de modo que o Plano de Trabalho, instrumento que materializa este planejamento, se faz necessário em parcerias desta espécie.</w:t>
      </w:r>
    </w:p>
    <w:p>
      <w:pPr>
        <w:pStyle w:val="Normal"/>
        <w:pBdr>
          <w:top w:val="single" w:sz="4" w:space="1" w:color="000000"/>
          <w:left w:val="single" w:sz="4" w:space="4" w:color="000000"/>
          <w:bottom w:val="single" w:sz="4" w:space="1" w:color="000000"/>
          <w:right w:val="single" w:sz="4" w:space="4" w:color="000000"/>
        </w:pBdr>
        <w:jc w:val="both"/>
        <w:rPr>
          <w:rFonts w:ascii="Arial" w:hAnsi="Arial"/>
          <w:b w:val="false"/>
          <w:b w:val="false"/>
          <w:bCs w:val="false"/>
          <w:sz w:val="18"/>
          <w:szCs w:val="18"/>
        </w:rPr>
      </w:pPr>
      <w:r>
        <w:rPr>
          <w:rFonts w:ascii="Arial" w:hAnsi="Arial"/>
          <w:b w:val="false"/>
          <w:bCs w:val="false"/>
          <w:sz w:val="18"/>
          <w:szCs w:val="18"/>
        </w:rPr>
      </w:r>
    </w:p>
    <w:p>
      <w:pPr>
        <w:pStyle w:val="Normal"/>
        <w:pBdr>
          <w:top w:val="single" w:sz="4" w:space="1" w:color="000000"/>
          <w:left w:val="single" w:sz="4" w:space="4" w:color="000000"/>
          <w:bottom w:val="single" w:sz="4" w:space="1" w:color="000000"/>
          <w:right w:val="single" w:sz="4" w:space="4" w:color="000000"/>
        </w:pBdr>
        <w:ind w:hanging="0"/>
        <w:jc w:val="both"/>
        <w:rPr>
          <w:rFonts w:ascii="Arial" w:hAnsi="Arial"/>
          <w:b w:val="false"/>
          <w:b w:val="false"/>
          <w:bCs w:val="false"/>
          <w:sz w:val="18"/>
          <w:szCs w:val="18"/>
        </w:rPr>
      </w:pPr>
      <w:r>
        <w:rPr>
          <w:rFonts w:ascii="Arial" w:hAnsi="Arial"/>
          <w:b/>
          <w:bCs/>
          <w:sz w:val="18"/>
          <w:szCs w:val="18"/>
        </w:rPr>
        <w:t xml:space="preserve">Nota Explicativa 2: </w:t>
      </w:r>
      <w:r>
        <w:rPr>
          <w:rFonts w:ascii="Arial" w:hAnsi="Arial"/>
          <w:b w:val="false"/>
          <w:bCs w:val="false"/>
          <w:sz w:val="18"/>
          <w:szCs w:val="18"/>
        </w:rPr>
        <w:t xml:space="preserve">O adequado planejamento contido no plano de trabalho traz maior segurança nas condutas de cada um dos partícipes, assim como facilita a realização de fiscalização pelos demais órgãos de controle interno e externo. </w:t>
      </w:r>
      <w:r>
        <w:rPr>
          <w:rFonts w:eastAsia="Times New Roman" w:cs="Arial" w:ascii="Arial" w:hAnsi="Arial"/>
          <w:b w:val="false"/>
          <w:bCs w:val="false"/>
          <w:color w:val="auto"/>
          <w:kern w:val="0"/>
          <w:sz w:val="18"/>
          <w:szCs w:val="18"/>
          <w:lang w:val="pt-BR" w:eastAsia="zh-CN" w:bidi="ar-SA"/>
        </w:rPr>
        <w:t xml:space="preserve">Vale dizer, a regularidade do instrumento depende, em primeiro lugar, do plano de trabalho. Se este instrumento for elaborado de forma correta, planejada e detalhada, bastará aos partícipes cumpri-lo para garantir o sucesso do ajuste. </w:t>
      </w:r>
    </w:p>
    <w:p>
      <w:pPr>
        <w:pStyle w:val="Normal"/>
        <w:spacing w:lineRule="auto" w:line="360" w:before="0" w:after="0"/>
        <w:ind w:left="0" w:right="0" w:hanging="0"/>
        <w:contextualSpacing/>
        <w:jc w:val="both"/>
        <w:rPr>
          <w:rFonts w:eastAsia="Times New Roman" w:cs="Arial"/>
          <w:b/>
          <w:b/>
          <w:bCs w:val="false"/>
          <w:color w:val="auto"/>
          <w:kern w:val="0"/>
          <w:sz w:val="24"/>
          <w:szCs w:val="24"/>
          <w:lang w:val="pt-BR" w:eastAsia="zh-CN" w:bidi="ar-SA"/>
        </w:rPr>
      </w:pPr>
      <w:r>
        <w:rPr/>
      </w:r>
    </w:p>
    <w:p>
      <w:pPr>
        <w:pStyle w:val="Normal"/>
        <w:spacing w:lineRule="auto" w:line="360" w:before="0" w:after="0"/>
        <w:ind w:left="0" w:right="0" w:hanging="0"/>
        <w:contextualSpacing/>
        <w:jc w:val="both"/>
        <w:rPr/>
      </w:pPr>
      <w:r>
        <w:rPr>
          <w:rFonts w:eastAsia="Times New Roman" w:cs="Arial"/>
          <w:b/>
          <w:bCs w:val="false"/>
          <w:color w:val="auto"/>
          <w:kern w:val="0"/>
          <w:sz w:val="24"/>
          <w:szCs w:val="24"/>
          <w:lang w:val="pt-BR" w:eastAsia="zh-CN" w:bidi="ar-SA"/>
        </w:rPr>
        <w:t>CLÁUSULA TERCEIRA - DAS OBRIGAÇÕES COMUNS DOS PARTÍCIPES</w:t>
      </w:r>
      <w:r>
        <w:rPr>
          <w:rFonts w:eastAsia="Times New Roman" w:cs="Arial" w:ascii="Arial" w:hAnsi="Arial"/>
          <w:b/>
          <w:bCs w:val="false"/>
          <w:color w:val="auto"/>
          <w:kern w:val="0"/>
          <w:sz w:val="24"/>
          <w:szCs w:val="24"/>
          <w:lang w:val="pt-BR" w:eastAsia="zh-CN" w:bidi="ar-SA"/>
        </w:rPr>
        <w:t xml:space="preserve">  </w:t>
      </w:r>
      <w:r>
        <w:rPr>
          <w:rFonts w:eastAsia="Times New Roman" w:cs="Arial" w:ascii="Arial" w:hAnsi="Arial"/>
          <w:b/>
          <w:bCs/>
          <w:i/>
          <w:iCs/>
          <w:color w:val="FF0000"/>
          <w:kern w:val="0"/>
          <w:sz w:val="24"/>
          <w:szCs w:val="24"/>
          <w:lang w:val="pt-BR" w:eastAsia="zh-CN" w:bidi="ar-SA"/>
        </w:rPr>
        <w:t>(rol não exaustivo)</w:t>
      </w:r>
      <w:r>
        <w:rPr>
          <w:rFonts w:eastAsia="Times New Roman" w:cs="Arial" w:ascii="Arial" w:hAnsi="Arial"/>
          <w:b/>
          <w:bCs/>
          <w:color w:val="FF0000"/>
          <w:kern w:val="0"/>
          <w:sz w:val="24"/>
          <w:szCs w:val="24"/>
          <w:lang w:val="pt-BR" w:eastAsia="zh-CN" w:bidi="ar-SA"/>
        </w:rPr>
        <w:t xml:space="preserve"> </w:t>
      </w:r>
    </w:p>
    <w:p>
      <w:pPr>
        <w:pStyle w:val="Normal"/>
        <w:spacing w:lineRule="auto" w:line="360" w:before="0" w:after="0"/>
        <w:ind w:left="0" w:right="0" w:hanging="0"/>
        <w:contextualSpacing/>
        <w:jc w:val="both"/>
        <w:rPr>
          <w:rFonts w:ascii="Arial" w:hAnsi="Arial"/>
          <w:b w:val="false"/>
          <w:b w:val="false"/>
          <w:bCs w:val="false"/>
          <w:color w:val="000000"/>
          <w:sz w:val="24"/>
          <w:szCs w:val="24"/>
        </w:rPr>
      </w:pPr>
      <w:r>
        <w:rPr>
          <w:rFonts w:eastAsia="Times New Roman" w:cs="Arial" w:ascii="Arial" w:hAnsi="Arial"/>
          <w:b w:val="false"/>
          <w:bCs w:val="false"/>
          <w:color w:val="000000"/>
          <w:kern w:val="0"/>
          <w:sz w:val="24"/>
          <w:szCs w:val="24"/>
          <w:lang w:val="pt-BR" w:eastAsia="zh-CN" w:bidi="ar-SA"/>
        </w:rPr>
        <w:t>Constituem obrigações comuns de ambos os partícipes:</w:t>
      </w:r>
    </w:p>
    <w:p>
      <w:pPr>
        <w:pStyle w:val="Normal"/>
        <w:spacing w:lineRule="auto" w:line="360" w:before="0" w:after="0"/>
        <w:ind w:left="0" w:right="0" w:hanging="0"/>
        <w:contextualSpacing/>
        <w:jc w:val="both"/>
        <w:rPr>
          <w:rFonts w:ascii="Arial" w:hAnsi="Arial"/>
          <w:b w:val="false"/>
          <w:b w:val="false"/>
          <w:bCs w:val="false"/>
          <w:sz w:val="24"/>
          <w:szCs w:val="24"/>
        </w:rPr>
      </w:pPr>
      <w:r>
        <w:rPr>
          <w:rFonts w:eastAsia="Times New Roman" w:cs="Arial"/>
          <w:b w:val="false"/>
          <w:bCs w:val="false"/>
          <w:color w:val="auto"/>
          <w:kern w:val="0"/>
          <w:sz w:val="24"/>
          <w:szCs w:val="24"/>
          <w:lang w:val="pt-BR" w:eastAsia="zh-CN" w:bidi="ar-SA"/>
        </w:rPr>
        <w:t>a) elaborar o Plano de Trabalho relativo aos objetivos deste Acordo;</w:t>
      </w:r>
    </w:p>
    <w:p>
      <w:pPr>
        <w:pStyle w:val="Normal"/>
        <w:spacing w:lineRule="auto" w:line="360" w:before="0" w:after="0"/>
        <w:ind w:left="0" w:right="0" w:hanging="0"/>
        <w:contextualSpacing/>
        <w:jc w:val="both"/>
        <w:rPr>
          <w:rFonts w:ascii="Arial" w:hAnsi="Arial"/>
          <w:b w:val="false"/>
          <w:b w:val="false"/>
          <w:bCs w:val="false"/>
          <w:sz w:val="24"/>
          <w:szCs w:val="24"/>
        </w:rPr>
      </w:pPr>
      <w:r>
        <w:rPr>
          <w:rFonts w:eastAsia="Times New Roman" w:cs="Arial"/>
          <w:b w:val="false"/>
          <w:bCs w:val="false"/>
          <w:color w:val="auto"/>
          <w:kern w:val="0"/>
          <w:sz w:val="24"/>
          <w:szCs w:val="24"/>
          <w:lang w:val="pt-BR" w:eastAsia="zh-CN" w:bidi="ar-SA"/>
        </w:rPr>
        <w:t xml:space="preserve">b) executar as ações objeto deste Acordo, assim como monitorar os resultados; </w:t>
      </w:r>
    </w:p>
    <w:p>
      <w:pPr>
        <w:pStyle w:val="Normal"/>
        <w:spacing w:lineRule="auto" w:line="360" w:before="0" w:after="0"/>
        <w:ind w:left="0" w:right="0" w:hanging="0"/>
        <w:contextualSpacing/>
        <w:jc w:val="both"/>
        <w:rPr/>
      </w:pPr>
      <w:r>
        <w:rPr>
          <w:rFonts w:eastAsia="Times New Roman" w:cs="Arial"/>
          <w:b w:val="false"/>
          <w:bCs w:val="false"/>
          <w:color w:val="auto"/>
          <w:kern w:val="0"/>
          <w:sz w:val="24"/>
          <w:szCs w:val="24"/>
          <w:lang w:val="pt-BR" w:eastAsia="zh-CN" w:bidi="ar-SA"/>
        </w:rPr>
        <w:t>c) designar, no prazo de 20 dias, contados da publicação do presente instrumento, representantes institucionais incumbidos de coordenar a execução deste Acordo;</w:t>
      </w:r>
    </w:p>
    <w:p>
      <w:pPr>
        <w:pStyle w:val="Normal"/>
        <w:spacing w:lineRule="auto" w:line="360" w:before="0" w:after="0"/>
        <w:ind w:left="0" w:right="0" w:hanging="0"/>
        <w:contextualSpacing/>
        <w:jc w:val="both"/>
        <w:rPr>
          <w:rFonts w:ascii="Arial" w:hAnsi="Arial"/>
          <w:b w:val="false"/>
          <w:b w:val="false"/>
          <w:bCs w:val="false"/>
          <w:sz w:val="24"/>
          <w:szCs w:val="24"/>
        </w:rPr>
      </w:pPr>
      <w:r>
        <w:rPr>
          <w:rFonts w:eastAsia="Times New Roman" w:cs="Arial"/>
          <w:b w:val="false"/>
          <w:bCs w:val="false"/>
          <w:color w:val="auto"/>
          <w:kern w:val="0"/>
          <w:sz w:val="24"/>
          <w:szCs w:val="24"/>
          <w:lang w:val="pt-BR" w:eastAsia="zh-CN" w:bidi="ar-SA"/>
        </w:rPr>
        <w:t>d) responsabilizar-se por quaisquer danos porventura causados, dolosa ou culposamente, por seus colaboradores, servidores ou prepostos, ao patrimônio da outra parte, quando da execução deste Acordo;</w:t>
      </w:r>
    </w:p>
    <w:p>
      <w:pPr>
        <w:pStyle w:val="Normal"/>
        <w:spacing w:lineRule="auto" w:line="360" w:before="0" w:after="0"/>
        <w:ind w:left="0" w:right="0" w:hanging="0"/>
        <w:contextualSpacing/>
        <w:jc w:val="both"/>
        <w:rPr>
          <w:rFonts w:ascii="Arial" w:hAnsi="Arial"/>
          <w:b w:val="false"/>
          <w:b w:val="false"/>
          <w:bCs w:val="false"/>
          <w:sz w:val="24"/>
          <w:szCs w:val="24"/>
        </w:rPr>
      </w:pPr>
      <w:r>
        <w:rPr>
          <w:rFonts w:eastAsia="Times New Roman" w:cs="Arial"/>
          <w:b w:val="false"/>
          <w:bCs w:val="false"/>
          <w:color w:val="auto"/>
          <w:kern w:val="0"/>
          <w:sz w:val="24"/>
          <w:szCs w:val="24"/>
          <w:lang w:val="pt-BR" w:eastAsia="zh-CN" w:bidi="ar-SA"/>
        </w:rPr>
        <w:t>e) analisar resultados parciais, reformulando metas quando necessário ao atingimento do resultado final;</w:t>
      </w:r>
    </w:p>
    <w:p>
      <w:pPr>
        <w:pStyle w:val="Normal"/>
        <w:spacing w:lineRule="auto" w:line="360" w:before="0" w:after="0"/>
        <w:ind w:left="0" w:right="0" w:hanging="0"/>
        <w:contextualSpacing/>
        <w:jc w:val="both"/>
        <w:rPr>
          <w:rFonts w:ascii="Arial" w:hAnsi="Arial"/>
          <w:b w:val="false"/>
          <w:b w:val="false"/>
          <w:bCs w:val="false"/>
          <w:sz w:val="24"/>
          <w:szCs w:val="24"/>
        </w:rPr>
      </w:pPr>
      <w:r>
        <w:rPr>
          <w:rFonts w:eastAsia="Times New Roman" w:cs="Arial"/>
          <w:b w:val="false"/>
          <w:bCs w:val="false"/>
          <w:color w:val="auto"/>
          <w:kern w:val="0"/>
          <w:sz w:val="24"/>
          <w:szCs w:val="24"/>
          <w:lang w:val="pt-BR" w:eastAsia="zh-CN" w:bidi="ar-SA"/>
        </w:rPr>
        <w:t>f) cumprir as atribuições próprias conforme definido no instrumento;</w:t>
      </w:r>
    </w:p>
    <w:p>
      <w:pPr>
        <w:pStyle w:val="Normal"/>
        <w:spacing w:lineRule="auto" w:line="360" w:before="0" w:after="0"/>
        <w:ind w:left="0" w:right="0" w:hanging="0"/>
        <w:contextualSpacing/>
        <w:jc w:val="both"/>
        <w:rPr>
          <w:rFonts w:ascii="Arial" w:hAnsi="Arial"/>
          <w:b w:val="false"/>
          <w:b w:val="false"/>
          <w:bCs w:val="false"/>
          <w:sz w:val="24"/>
          <w:szCs w:val="24"/>
        </w:rPr>
      </w:pPr>
      <w:r>
        <w:rPr>
          <w:rFonts w:eastAsia="Times New Roman" w:cs="Arial"/>
          <w:b w:val="false"/>
          <w:bCs w:val="false"/>
          <w:color w:val="auto"/>
          <w:kern w:val="0"/>
          <w:sz w:val="24"/>
          <w:szCs w:val="24"/>
          <w:lang w:val="pt-BR" w:eastAsia="zh-CN" w:bidi="ar-SA"/>
        </w:rPr>
        <w:t xml:space="preserve">g) realizar vistorias em conjunto, quando necessário; </w:t>
      </w:r>
    </w:p>
    <w:p>
      <w:pPr>
        <w:pStyle w:val="Normal"/>
        <w:spacing w:lineRule="auto" w:line="360" w:before="0" w:after="0"/>
        <w:ind w:left="0" w:right="0" w:hanging="0"/>
        <w:contextualSpacing/>
        <w:jc w:val="both"/>
        <w:rPr>
          <w:rFonts w:ascii="Arial" w:hAnsi="Arial"/>
          <w:b w:val="false"/>
          <w:b w:val="false"/>
          <w:bCs w:val="false"/>
          <w:sz w:val="24"/>
          <w:szCs w:val="24"/>
        </w:rPr>
      </w:pPr>
      <w:r>
        <w:rPr>
          <w:rFonts w:eastAsia="Times New Roman" w:cs="Arial"/>
          <w:b w:val="false"/>
          <w:bCs w:val="false"/>
          <w:color w:val="auto"/>
          <w:kern w:val="0"/>
          <w:sz w:val="24"/>
          <w:szCs w:val="24"/>
          <w:lang w:val="pt-BR" w:eastAsia="zh-CN" w:bidi="ar-SA"/>
        </w:rPr>
        <w:t xml:space="preserve">h) disponibilizar recursos humanos, tecnológicos e materiais para executar as ações, mediante custeio próprio; </w:t>
      </w:r>
    </w:p>
    <w:p>
      <w:pPr>
        <w:pStyle w:val="Normal"/>
        <w:spacing w:lineRule="auto" w:line="360" w:before="0" w:after="0"/>
        <w:ind w:left="0" w:right="0" w:hanging="0"/>
        <w:contextualSpacing/>
        <w:jc w:val="both"/>
        <w:rPr>
          <w:rFonts w:ascii="Arial" w:hAnsi="Arial"/>
          <w:b w:val="false"/>
          <w:b w:val="false"/>
          <w:bCs w:val="false"/>
          <w:sz w:val="24"/>
          <w:szCs w:val="24"/>
        </w:rPr>
      </w:pPr>
      <w:r>
        <w:rPr>
          <w:rFonts w:eastAsia="Times New Roman" w:cs="Arial"/>
          <w:b w:val="false"/>
          <w:bCs w:val="false"/>
          <w:color w:val="auto"/>
          <w:kern w:val="0"/>
          <w:sz w:val="24"/>
          <w:szCs w:val="24"/>
          <w:lang w:val="pt-BR" w:eastAsia="zh-CN" w:bidi="ar-SA"/>
        </w:rPr>
        <w:t>i) permitir o livre acesso a agentes da administração pública (controle interno e externo), a todos os documentos relacionados ao acordo, assim como aos elementos de sua execução;</w:t>
      </w:r>
    </w:p>
    <w:p>
      <w:pPr>
        <w:pStyle w:val="Normal"/>
        <w:spacing w:lineRule="auto" w:line="360" w:before="0" w:after="0"/>
        <w:ind w:left="0" w:right="0" w:hanging="0"/>
        <w:contextualSpacing/>
        <w:jc w:val="both"/>
        <w:rPr>
          <w:rFonts w:ascii="Arial" w:hAnsi="Arial"/>
          <w:b w:val="false"/>
          <w:b w:val="false"/>
          <w:bCs w:val="false"/>
          <w:sz w:val="24"/>
          <w:szCs w:val="24"/>
        </w:rPr>
      </w:pPr>
      <w:r>
        <w:rPr>
          <w:rFonts w:eastAsia="Times New Roman" w:cs="Arial"/>
          <w:b w:val="false"/>
          <w:bCs w:val="false"/>
          <w:color w:val="auto"/>
          <w:kern w:val="0"/>
          <w:sz w:val="24"/>
          <w:szCs w:val="24"/>
          <w:lang w:val="pt-BR" w:eastAsia="zh-CN" w:bidi="ar-SA"/>
        </w:rPr>
        <w:t xml:space="preserve">j) fornecer ao parceiro as informações necessárias e disponíveis para o cumprimento das obrigações acordadas; </w:t>
      </w:r>
    </w:p>
    <w:p>
      <w:pPr>
        <w:pStyle w:val="Normal"/>
        <w:spacing w:lineRule="auto" w:line="360" w:before="0" w:after="0"/>
        <w:ind w:left="0" w:right="0" w:hanging="0"/>
        <w:contextualSpacing/>
        <w:jc w:val="both"/>
        <w:rPr/>
      </w:pPr>
      <w:r>
        <w:rPr>
          <w:rFonts w:eastAsia="Times New Roman" w:cs="Arial"/>
          <w:b w:val="false"/>
          <w:bCs w:val="false"/>
          <w:color w:val="auto"/>
          <w:kern w:val="0"/>
          <w:sz w:val="24"/>
          <w:szCs w:val="24"/>
          <w:lang w:val="pt-BR" w:eastAsia="zh-CN" w:bidi="ar-SA"/>
        </w:rPr>
        <w:t xml:space="preserve">k) </w:t>
      </w:r>
      <w:r>
        <w:rPr>
          <w:rFonts w:eastAsia="Times New Roman" w:cs="Arial" w:ascii="Arial" w:hAnsi="Arial"/>
          <w:b w:val="false"/>
          <w:bCs w:val="false"/>
          <w:color w:val="auto"/>
          <w:kern w:val="0"/>
          <w:sz w:val="24"/>
          <w:szCs w:val="24"/>
          <w:lang w:val="pt-BR" w:eastAsia="zh-CN" w:bidi="ar-SA"/>
        </w:rPr>
        <w:t xml:space="preserve">manter sigilo das informações sensíveis (conforme classificação da Lei nº 12.527/2011- Lei de Acesso à Informação - LAI) obtidas em razão da execução do acordo, somente divulgando-as se houver expressa autorização dos partícipes; </w:t>
      </w:r>
    </w:p>
    <w:p>
      <w:pPr>
        <w:pStyle w:val="Normal"/>
        <w:spacing w:lineRule="auto" w:line="360" w:before="0" w:after="0"/>
        <w:ind w:left="0" w:right="0" w:hanging="0"/>
        <w:contextualSpacing/>
        <w:jc w:val="both"/>
        <w:rPr>
          <w:rFonts w:ascii="Arial" w:hAnsi="Arial"/>
          <w:sz w:val="24"/>
          <w:szCs w:val="24"/>
        </w:rPr>
      </w:pPr>
      <w:r>
        <w:rPr>
          <w:rFonts w:eastAsia="Times New Roman" w:cs="Arial" w:ascii="Arial" w:hAnsi="Arial"/>
          <w:b w:val="false"/>
          <w:bCs w:val="false"/>
          <w:color w:val="auto"/>
          <w:kern w:val="0"/>
          <w:sz w:val="24"/>
          <w:szCs w:val="24"/>
          <w:lang w:val="pt-BR" w:eastAsia="zh-CN" w:bidi="ar-SA"/>
        </w:rPr>
        <w:t xml:space="preserve">l) </w:t>
      </w:r>
      <w:r>
        <w:rPr>
          <w:rFonts w:eastAsia="Times New Roman" w:cs="Arial" w:ascii="Arial" w:hAnsi="Arial"/>
          <w:b w:val="false"/>
          <w:bCs w:val="false"/>
          <w:color w:val="auto"/>
          <w:kern w:val="0"/>
          <w:sz w:val="24"/>
          <w:szCs w:val="24"/>
          <w:lang w:val="pt-BR" w:eastAsia="zh-CN" w:bidi="ar-SA"/>
        </w:rPr>
        <w:t>Observar os deveres previstos na Lei nº 13.709, de 14 de agosto de 2018 (Lei Geral de Proteção de Dados - LGPD), adotando medidas eficazes para proteção de dados pessoais a que tenha acesso por força da execução deste acordo; e</w:t>
      </w:r>
    </w:p>
    <w:p>
      <w:pPr>
        <w:pStyle w:val="Normal"/>
        <w:spacing w:lineRule="auto" w:line="360" w:before="0" w:after="0"/>
        <w:ind w:left="0" w:right="0" w:hanging="0"/>
        <w:contextualSpacing/>
        <w:jc w:val="both"/>
        <w:rPr>
          <w:rFonts w:ascii="Arial" w:hAnsi="Arial"/>
          <w:sz w:val="24"/>
          <w:szCs w:val="24"/>
        </w:rPr>
      </w:pPr>
      <w:r>
        <w:rPr>
          <w:rFonts w:eastAsia="Times New Roman" w:cs="Arial" w:ascii="Arial" w:hAnsi="Arial"/>
          <w:b w:val="false"/>
          <w:bCs w:val="false"/>
          <w:color w:val="auto"/>
          <w:kern w:val="0"/>
          <w:sz w:val="24"/>
          <w:szCs w:val="24"/>
          <w:lang w:val="pt-BR" w:eastAsia="zh-CN" w:bidi="ar-SA"/>
        </w:rPr>
        <w:t>m</w:t>
      </w:r>
      <w:r>
        <w:rPr>
          <w:rFonts w:eastAsia="Times New Roman" w:cs="Arial" w:ascii="Arial" w:hAnsi="Arial"/>
          <w:b w:val="false"/>
          <w:bCs w:val="false"/>
          <w:color w:val="auto"/>
          <w:kern w:val="0"/>
          <w:sz w:val="24"/>
          <w:szCs w:val="24"/>
          <w:lang w:val="pt-BR" w:eastAsia="zh-CN" w:bidi="ar-SA"/>
        </w:rPr>
        <w:t>) obedecer as restrições legais relativas à propriedade intelectual, se for o caso.</w:t>
      </w:r>
    </w:p>
    <w:p>
      <w:pPr>
        <w:pStyle w:val="Normal"/>
        <w:spacing w:lineRule="auto" w:line="360" w:before="0" w:after="0"/>
        <w:ind w:left="0" w:right="0" w:hanging="0"/>
        <w:contextualSpacing/>
        <w:jc w:val="both"/>
        <w:rPr>
          <w:rFonts w:eastAsia="Times New Roman" w:cs="Arial"/>
          <w:color w:val="auto"/>
          <w:kern w:val="0"/>
          <w:lang w:val="pt-BR" w:eastAsia="zh-CN" w:bidi="ar-SA"/>
        </w:rPr>
      </w:pPr>
      <w:r>
        <w:rPr>
          <w:rFonts w:eastAsia="Times New Roman" w:cs="Arial"/>
          <w:color w:val="auto"/>
          <w:kern w:val="0"/>
          <w:lang w:val="pt-BR" w:eastAsia="zh-CN" w:bidi="ar-SA"/>
        </w:rPr>
      </w:r>
    </w:p>
    <w:p>
      <w:pPr>
        <w:pStyle w:val="Normal"/>
        <w:spacing w:lineRule="auto" w:line="360" w:before="0" w:after="0"/>
        <w:ind w:left="0" w:right="0" w:hanging="0"/>
        <w:contextualSpacing/>
        <w:jc w:val="both"/>
        <w:rPr>
          <w:rFonts w:ascii="Arial" w:hAnsi="Arial"/>
          <w:b w:val="false"/>
          <w:b w:val="false"/>
          <w:bCs w:val="false"/>
          <w:sz w:val="24"/>
          <w:szCs w:val="24"/>
        </w:rPr>
      </w:pPr>
      <w:r>
        <w:rPr>
          <w:rFonts w:eastAsia="Times New Roman" w:cs="Arial"/>
          <w:b/>
          <w:bCs/>
          <w:color w:val="auto"/>
          <w:kern w:val="0"/>
          <w:sz w:val="24"/>
          <w:szCs w:val="24"/>
          <w:lang w:val="pt-BR" w:eastAsia="zh-CN" w:bidi="ar-SA"/>
        </w:rPr>
        <w:t>Subcláusula única –</w:t>
      </w:r>
      <w:r>
        <w:rPr>
          <w:rFonts w:eastAsia="Times New Roman" w:cs="Arial"/>
          <w:b w:val="false"/>
          <w:bCs w:val="false"/>
          <w:color w:val="auto"/>
          <w:kern w:val="0"/>
          <w:sz w:val="24"/>
          <w:szCs w:val="24"/>
          <w:lang w:val="pt-BR" w:eastAsia="zh-CN" w:bidi="ar-SA"/>
        </w:rPr>
        <w:t xml:space="preserve"> As partes concordam em oferecer, em regime de colaboração mútua, todas as facilidades para a execução do presente instrumento, de modo a, no limite de suas possibilidades, não faltarem recursos humanos, materiais e instalações, conforme as exigências do Plano de Trabalho. </w:t>
      </w:r>
    </w:p>
    <w:p>
      <w:pPr>
        <w:pStyle w:val="Normal"/>
        <w:spacing w:lineRule="auto" w:line="360" w:before="0" w:after="0"/>
        <w:ind w:left="0" w:right="0" w:hanging="0"/>
        <w:contextualSpacing/>
        <w:jc w:val="both"/>
        <w:rPr>
          <w:rFonts w:eastAsia="Times New Roman" w:cs="Arial"/>
          <w:color w:val="auto"/>
          <w:kern w:val="0"/>
          <w:lang w:val="pt-BR" w:eastAsia="zh-CN" w:bidi="ar-SA"/>
        </w:rPr>
      </w:pPr>
      <w:r>
        <w:rPr>
          <w:rFonts w:eastAsia="Times New Roman" w:cs="Arial"/>
          <w:color w:val="auto"/>
          <w:kern w:val="0"/>
          <w:lang w:val="pt-BR" w:eastAsia="zh-CN" w:bidi="ar-SA"/>
        </w:rPr>
      </w:r>
    </w:p>
    <w:p>
      <w:pPr>
        <w:pStyle w:val="Normal"/>
        <w:spacing w:lineRule="auto" w:line="360" w:before="0" w:after="0"/>
        <w:ind w:left="0" w:right="0" w:hanging="0"/>
        <w:contextualSpacing/>
        <w:jc w:val="both"/>
        <w:rPr>
          <w:rFonts w:ascii="Arial" w:hAnsi="Arial"/>
          <w:b/>
          <w:b/>
          <w:bCs/>
          <w:sz w:val="24"/>
          <w:szCs w:val="24"/>
        </w:rPr>
      </w:pPr>
      <w:r>
        <w:rPr>
          <w:rFonts w:eastAsia="Times New Roman" w:cs="Arial"/>
          <w:b/>
          <w:bCs/>
          <w:color w:val="auto"/>
          <w:kern w:val="0"/>
          <w:sz w:val="24"/>
          <w:szCs w:val="24"/>
          <w:lang w:val="pt-BR" w:eastAsia="zh-CN" w:bidi="ar-SA"/>
        </w:rPr>
        <w:t>CLÁUSULA QUARTA - DAS OBRIGAÇÕES DO IFG</w:t>
      </w:r>
    </w:p>
    <w:p>
      <w:pPr>
        <w:pStyle w:val="Normal"/>
        <w:spacing w:lineRule="auto" w:line="360" w:before="0" w:after="0"/>
        <w:ind w:left="0" w:right="0" w:hanging="0"/>
        <w:contextualSpacing/>
        <w:jc w:val="both"/>
        <w:rPr>
          <w:rFonts w:ascii="Arial" w:hAnsi="Arial"/>
          <w:b w:val="false"/>
          <w:b w:val="false"/>
          <w:sz w:val="24"/>
          <w:szCs w:val="24"/>
        </w:rPr>
      </w:pPr>
      <w:r>
        <w:rPr>
          <w:rFonts w:eastAsia="Times New Roman" w:cs="Arial"/>
          <w:b w:val="false"/>
          <w:bCs w:val="false"/>
          <w:color w:val="auto"/>
          <w:kern w:val="0"/>
          <w:sz w:val="24"/>
          <w:szCs w:val="24"/>
          <w:lang w:val="pt-BR" w:eastAsia="zh-CN" w:bidi="ar-SA"/>
        </w:rPr>
        <w:t xml:space="preserve">Para viabilizar o objeto deste instrumento, são responsabilidades do IFG: </w:t>
      </w:r>
    </w:p>
    <w:p>
      <w:pPr>
        <w:pStyle w:val="ListParagraph1"/>
        <w:numPr>
          <w:ilvl w:val="0"/>
          <w:numId w:val="0"/>
        </w:numPr>
        <w:spacing w:lineRule="auto" w:line="360" w:before="0" w:after="200"/>
        <w:ind w:hanging="0"/>
        <w:contextualSpacing/>
        <w:jc w:val="both"/>
        <w:rPr/>
      </w:pPr>
      <w:r>
        <w:rPr>
          <w:rFonts w:eastAsia="Times New Roman" w:cs="Arial" w:ascii="Arial" w:hAnsi="Arial" w:asciiTheme="majorHAnsi" w:cstheme="majorHAnsi" w:hAnsiTheme="majorHAnsi"/>
          <w:b w:val="false"/>
          <w:bCs w:val="false"/>
          <w:i/>
          <w:iCs/>
          <w:color w:val="C9211E"/>
          <w:kern w:val="0"/>
          <w:sz w:val="20"/>
          <w:szCs w:val="20"/>
          <w:lang w:val="pt-BR" w:eastAsia="zh-CN" w:bidi="ar-SA"/>
        </w:rPr>
        <w:t xml:space="preserve">(Deve haver o detalhamento das obrigações de cada um dos partícipes, de acordo com o objeto do ajuste, deixando evidente a maneira como contribuirão para a consecução do objeto e atingimento do resultado proposto). </w:t>
      </w:r>
    </w:p>
    <w:p>
      <w:pPr>
        <w:pStyle w:val="Normal"/>
        <w:spacing w:lineRule="auto" w:line="360" w:before="0" w:after="0"/>
        <w:ind w:left="0" w:right="0" w:hanging="0"/>
        <w:contextualSpacing/>
        <w:jc w:val="both"/>
        <w:rPr>
          <w:rFonts w:eastAsia="Times New Roman" w:cs="Arial"/>
          <w:color w:val="auto"/>
          <w:kern w:val="0"/>
          <w:lang w:val="pt-BR" w:eastAsia="zh-CN" w:bidi="ar-SA"/>
        </w:rPr>
      </w:pPr>
      <w:r>
        <w:rPr>
          <w:rFonts w:eastAsia="Times New Roman" w:cs="Arial"/>
          <w:color w:val="auto"/>
          <w:kern w:val="0"/>
          <w:lang w:val="pt-BR" w:eastAsia="zh-CN" w:bidi="ar-SA"/>
        </w:rPr>
      </w:r>
    </w:p>
    <w:p>
      <w:pPr>
        <w:pStyle w:val="Normal"/>
        <w:spacing w:lineRule="auto" w:line="360" w:before="0" w:after="0"/>
        <w:ind w:left="0" w:right="0" w:hanging="0"/>
        <w:contextualSpacing/>
        <w:jc w:val="both"/>
        <w:rPr/>
      </w:pPr>
      <w:r>
        <w:rPr>
          <w:rFonts w:eastAsia="Times New Roman" w:cs="Arial"/>
          <w:b/>
          <w:bCs/>
          <w:color w:val="auto"/>
          <w:kern w:val="0"/>
          <w:sz w:val="24"/>
          <w:szCs w:val="24"/>
          <w:lang w:val="pt-BR" w:eastAsia="zh-CN" w:bidi="ar-SA"/>
        </w:rPr>
        <w:t xml:space="preserve">CLÁUSULA QUINTA – DAS OBRIGAÇÕES </w:t>
      </w:r>
      <w:r>
        <w:rPr>
          <w:rFonts w:eastAsia="Times New Roman" w:cs="Arial"/>
          <w:b/>
          <w:bCs/>
          <w:i/>
          <w:iCs/>
          <w:color w:val="C9211E"/>
          <w:kern w:val="0"/>
          <w:sz w:val="24"/>
          <w:szCs w:val="24"/>
          <w:lang w:val="pt-BR" w:eastAsia="zh-CN" w:bidi="ar-SA"/>
        </w:rPr>
        <w:t xml:space="preserve">(Nome da Instituição Parceira) </w:t>
      </w:r>
    </w:p>
    <w:p>
      <w:pPr>
        <w:pStyle w:val="Normal"/>
        <w:numPr>
          <w:ilvl w:val="0"/>
          <w:numId w:val="0"/>
        </w:numPr>
        <w:spacing w:lineRule="auto" w:line="360" w:before="0" w:after="0"/>
        <w:ind w:right="0" w:hanging="0"/>
        <w:contextualSpacing/>
        <w:jc w:val="both"/>
        <w:rPr/>
      </w:pPr>
      <w:r>
        <w:rPr>
          <w:rFonts w:eastAsia="Times New Roman" w:cs="Arial"/>
          <w:b w:val="false"/>
          <w:bCs w:val="false"/>
          <w:color w:val="auto"/>
          <w:kern w:val="0"/>
          <w:sz w:val="24"/>
          <w:szCs w:val="24"/>
          <w:lang w:val="pt-BR" w:eastAsia="zh-CN" w:bidi="ar-SA"/>
        </w:rPr>
        <w:t>Para viabilizar o objeto deste instrumento, são responsabilidades do (a)____________:</w:t>
      </w:r>
    </w:p>
    <w:p>
      <w:pPr>
        <w:pStyle w:val="ListParagraph1"/>
        <w:numPr>
          <w:ilvl w:val="0"/>
          <w:numId w:val="0"/>
        </w:numPr>
        <w:spacing w:lineRule="auto" w:line="360" w:before="0" w:after="200"/>
        <w:ind w:hanging="0"/>
        <w:contextualSpacing/>
        <w:jc w:val="both"/>
        <w:rPr/>
      </w:pPr>
      <w:r>
        <w:rPr>
          <w:rFonts w:eastAsia="Times New Roman" w:cs="Arial" w:ascii="Arial" w:hAnsi="Arial" w:asciiTheme="majorHAnsi" w:cstheme="majorHAnsi" w:hAnsiTheme="majorHAnsi"/>
          <w:b w:val="false"/>
          <w:bCs w:val="false"/>
          <w:i/>
          <w:iCs/>
          <w:color w:val="C9211E"/>
          <w:kern w:val="0"/>
          <w:sz w:val="20"/>
          <w:szCs w:val="20"/>
          <w:lang w:val="pt-BR" w:eastAsia="zh-CN" w:bidi="ar-SA"/>
        </w:rPr>
        <w:t xml:space="preserve">(Deve haver o detalhamento das obrigações de cada um dos partícipes, de acordo com o objeto do ajuste, deixando evidente a maneira como contribuirão para a consecução do objeto e atingimento do resultado proposto). </w:t>
      </w:r>
    </w:p>
    <w:p>
      <w:pPr>
        <w:pStyle w:val="Normal"/>
        <w:spacing w:lineRule="auto" w:line="360" w:before="0" w:after="0"/>
        <w:ind w:left="0" w:right="0" w:hanging="0"/>
        <w:contextualSpacing/>
        <w:rPr/>
      </w:pPr>
      <w:r>
        <w:rPr>
          <w:b w:val="false"/>
          <w:bCs w:val="false"/>
          <w:color w:val="C9211E"/>
          <w:sz w:val="18"/>
          <w:szCs w:val="18"/>
          <w:lang w:eastAsia="zh-CN"/>
        </w:rPr>
        <w:t xml:space="preserve">* </w:t>
      </w:r>
      <w:r>
        <w:rPr>
          <w:b w:val="false"/>
          <w:bCs w:val="false"/>
          <w:color w:val="C9211E"/>
          <w:sz w:val="18"/>
          <w:szCs w:val="18"/>
          <w:lang w:eastAsia="zh-CN"/>
        </w:rPr>
        <w:t xml:space="preserve">Caso a </w:t>
      </w:r>
      <w:r>
        <w:rPr>
          <w:rFonts w:eastAsia="Times New Roman" w:cs="Arial"/>
          <w:b w:val="false"/>
          <w:bCs w:val="false"/>
          <w:color w:val="C9211E"/>
          <w:kern w:val="0"/>
          <w:sz w:val="18"/>
          <w:szCs w:val="18"/>
          <w:lang w:val="pt-BR" w:eastAsia="zh-CN" w:bidi="ar-SA"/>
        </w:rPr>
        <w:t>parceria</w:t>
      </w:r>
      <w:r>
        <w:rPr>
          <w:b w:val="false"/>
          <w:bCs w:val="false"/>
          <w:color w:val="C9211E"/>
          <w:sz w:val="18"/>
          <w:szCs w:val="18"/>
          <w:lang w:eastAsia="zh-CN"/>
        </w:rPr>
        <w:t xml:space="preserve"> tenha mais de um parceiro institucional, deverá ser inserida uma cláusula específica para cada parceiro.</w:t>
      </w:r>
    </w:p>
    <w:p>
      <w:pPr>
        <w:pStyle w:val="Normal"/>
        <w:spacing w:lineRule="auto" w:line="360" w:before="0" w:after="0"/>
        <w:ind w:left="0" w:right="0" w:hanging="0"/>
        <w:contextualSpacing/>
        <w:rPr>
          <w:b w:val="false"/>
          <w:b w:val="false"/>
          <w:bCs w:val="false"/>
          <w:sz w:val="18"/>
          <w:szCs w:val="18"/>
          <w:lang w:eastAsia="zh-CN"/>
        </w:rPr>
      </w:pPr>
      <w:r>
        <w:rPr>
          <w:b w:val="false"/>
          <w:bCs w:val="false"/>
          <w:sz w:val="18"/>
          <w:szCs w:val="18"/>
          <w:lang w:eastAsia="zh-CN"/>
        </w:rPr>
      </w:r>
    </w:p>
    <w:p>
      <w:pPr>
        <w:pStyle w:val="Normal"/>
        <w:spacing w:lineRule="auto" w:line="360" w:before="0" w:after="0"/>
        <w:ind w:left="0" w:right="0" w:hanging="0"/>
        <w:contextualSpacing/>
        <w:rPr/>
      </w:pPr>
      <w:r>
        <w:rPr>
          <w:b/>
          <w:sz w:val="24"/>
          <w:szCs w:val="24"/>
          <w:lang w:eastAsia="zh-CN"/>
        </w:rPr>
        <w:t xml:space="preserve">CLÁUSULA </w:t>
      </w:r>
      <w:r>
        <w:rPr>
          <w:rFonts w:eastAsia="Times New Roman" w:cs="Arial"/>
          <w:b/>
          <w:color w:val="auto"/>
          <w:kern w:val="0"/>
          <w:sz w:val="24"/>
          <w:szCs w:val="24"/>
          <w:lang w:val="pt-BR" w:eastAsia="zh-CN" w:bidi="ar-SA"/>
        </w:rPr>
        <w:t>SEXTA</w:t>
      </w:r>
      <w:r>
        <w:rPr>
          <w:b/>
          <w:sz w:val="24"/>
          <w:szCs w:val="24"/>
          <w:lang w:eastAsia="zh-CN"/>
        </w:rPr>
        <w:t xml:space="preserve"> – DO GERENCIAMENTO DO ACORDO DE COOPERAÇÃO TÉCNICA </w:t>
      </w:r>
    </w:p>
    <w:p>
      <w:pPr>
        <w:pStyle w:val="Normal"/>
        <w:spacing w:lineRule="auto" w:line="360" w:before="0" w:after="0"/>
        <w:ind w:left="0" w:right="0" w:hanging="0"/>
        <w:contextualSpacing/>
        <w:rPr>
          <w:rFonts w:ascii="Arial" w:hAnsi="Arial"/>
          <w:sz w:val="24"/>
          <w:szCs w:val="24"/>
        </w:rPr>
      </w:pPr>
      <w:r>
        <w:rPr>
          <w:b w:val="false"/>
          <w:bCs w:val="false"/>
          <w:sz w:val="24"/>
          <w:szCs w:val="24"/>
          <w:lang w:eastAsia="zh-CN"/>
        </w:rPr>
        <w:t xml:space="preserve">No prazo de </w:t>
      </w:r>
      <w:r>
        <w:rPr>
          <w:rFonts w:eastAsia="Times New Roman" w:cs="Arial"/>
          <w:b w:val="false"/>
          <w:bCs w:val="false"/>
          <w:color w:val="auto"/>
          <w:kern w:val="0"/>
          <w:sz w:val="24"/>
          <w:szCs w:val="24"/>
          <w:lang w:val="pt-BR" w:eastAsia="zh-CN" w:bidi="ar-SA"/>
        </w:rPr>
        <w:t>20</w:t>
      </w:r>
      <w:r>
        <w:rPr>
          <w:b w:val="false"/>
          <w:bCs w:val="false"/>
          <w:sz w:val="24"/>
          <w:szCs w:val="24"/>
          <w:lang w:eastAsia="zh-CN"/>
        </w:rPr>
        <w:t xml:space="preserve"> dias a contar da celebração do presente acordo, cada partícipe designará formalmente, mediante portaria, preferencialmente servidores públicos envolvidos e responsáveis para gerenciar a parceria; zelar por seu fiel cumprimento; coordenar, organizar, articular, acompanhar monitorar e supervisionar as ações que serão tomadas para o cumprimento do ajuste. </w:t>
      </w:r>
    </w:p>
    <w:p>
      <w:pPr>
        <w:pStyle w:val="Normal"/>
        <w:spacing w:lineRule="auto" w:line="360" w:before="0" w:after="0"/>
        <w:ind w:left="0" w:right="0" w:hanging="0"/>
        <w:contextualSpacing/>
        <w:rPr/>
      </w:pPr>
      <w:r>
        <w:rPr>
          <w:b/>
          <w:bCs/>
          <w:sz w:val="24"/>
          <w:szCs w:val="24"/>
          <w:lang w:eastAsia="zh-CN"/>
        </w:rPr>
        <w:t>Subcláusula primeira.</w:t>
      </w:r>
      <w:r>
        <w:rPr>
          <w:b w:val="false"/>
          <w:bCs w:val="false"/>
          <w:sz w:val="24"/>
          <w:szCs w:val="24"/>
          <w:lang w:eastAsia="zh-CN"/>
        </w:rPr>
        <w:t xml:space="preserve"> Competirá aos designados a comunicação com o outro partícipe, bem como transmitir e receber solicitações; marcar reuniões, devendo todas as comunicações serem documentadas. </w:t>
      </w:r>
    </w:p>
    <w:p>
      <w:pPr>
        <w:pStyle w:val="Normal"/>
        <w:spacing w:lineRule="auto" w:line="360" w:before="0" w:after="0"/>
        <w:ind w:left="0" w:right="0" w:hanging="0"/>
        <w:contextualSpacing/>
        <w:rPr>
          <w:rFonts w:ascii="Arial" w:hAnsi="Arial"/>
          <w:sz w:val="24"/>
          <w:szCs w:val="24"/>
        </w:rPr>
      </w:pPr>
      <w:r>
        <w:rPr>
          <w:b/>
          <w:bCs/>
          <w:sz w:val="24"/>
          <w:szCs w:val="24"/>
          <w:lang w:eastAsia="zh-CN"/>
        </w:rPr>
        <w:t>Subcláusula segunda.</w:t>
      </w:r>
      <w:r>
        <w:rPr>
          <w:b w:val="false"/>
          <w:bCs w:val="false"/>
          <w:sz w:val="24"/>
          <w:szCs w:val="24"/>
          <w:lang w:eastAsia="zh-CN"/>
        </w:rPr>
        <w:t xml:space="preserve"> Sempre que o indicado não puder continuar a desempenhar a incumbência, este deverá ser substituído. A comunicação deverá ser feita ao outro partícipe, no prazo de até </w:t>
      </w:r>
      <w:r>
        <w:rPr>
          <w:rFonts w:eastAsia="Times New Roman" w:cs="Arial"/>
          <w:b w:val="false"/>
          <w:bCs w:val="false"/>
          <w:color w:val="auto"/>
          <w:kern w:val="0"/>
          <w:sz w:val="24"/>
          <w:szCs w:val="24"/>
          <w:lang w:val="pt-BR" w:eastAsia="zh-CN" w:bidi="ar-SA"/>
        </w:rPr>
        <w:t>15</w:t>
      </w:r>
      <w:r>
        <w:rPr>
          <w:b w:val="false"/>
          <w:bCs w:val="false"/>
          <w:sz w:val="24"/>
          <w:szCs w:val="24"/>
          <w:lang w:eastAsia="zh-CN"/>
        </w:rPr>
        <w:t xml:space="preserve"> dias da ocorrência do evento, seguida da identificação do substituto. </w:t>
      </w:r>
    </w:p>
    <w:p>
      <w:pPr>
        <w:pStyle w:val="Normal"/>
        <w:spacing w:lineRule="auto" w:line="360" w:before="0" w:after="0"/>
        <w:ind w:left="0" w:right="0" w:hanging="0"/>
        <w:contextualSpacing/>
        <w:rPr>
          <w:b/>
          <w:b/>
          <w:lang w:eastAsia="zh-CN"/>
        </w:rPr>
      </w:pPr>
      <w:r>
        <w:rPr>
          <w:b/>
          <w:lang w:eastAsia="zh-CN"/>
        </w:rPr>
      </w:r>
    </w:p>
    <w:p>
      <w:pPr>
        <w:pStyle w:val="Normal"/>
        <w:spacing w:lineRule="auto" w:line="360" w:before="0" w:after="0"/>
        <w:ind w:left="0" w:right="0" w:hanging="0"/>
        <w:contextualSpacing/>
        <w:rPr/>
      </w:pPr>
      <w:r>
        <w:rPr>
          <w:b/>
          <w:sz w:val="24"/>
          <w:szCs w:val="24"/>
          <w:lang w:eastAsia="zh-CN"/>
        </w:rPr>
        <w:t xml:space="preserve">CLÁUSULA </w:t>
      </w:r>
      <w:r>
        <w:rPr>
          <w:rFonts w:eastAsia="Times New Roman" w:cs="Arial"/>
          <w:b/>
          <w:color w:val="auto"/>
          <w:kern w:val="0"/>
          <w:sz w:val="24"/>
          <w:szCs w:val="24"/>
          <w:lang w:val="pt-BR" w:eastAsia="zh-CN" w:bidi="ar-SA"/>
        </w:rPr>
        <w:t>SÉTIMA</w:t>
      </w:r>
      <w:r>
        <w:rPr>
          <w:b/>
          <w:sz w:val="24"/>
          <w:szCs w:val="24"/>
          <w:lang w:eastAsia="zh-CN"/>
        </w:rPr>
        <w:t xml:space="preserve"> – DOS RECURSOS ORÇAMENTÁRIOS E PATRIMONIAIS </w:t>
      </w:r>
    </w:p>
    <w:p>
      <w:pPr>
        <w:pStyle w:val="Normal"/>
        <w:spacing w:lineRule="auto" w:line="360" w:before="0" w:after="0"/>
        <w:ind w:left="0" w:right="0" w:hanging="0"/>
        <w:contextualSpacing/>
        <w:rPr/>
      </w:pPr>
      <w:r>
        <w:rPr>
          <w:b w:val="false"/>
          <w:bCs w:val="false"/>
          <w:sz w:val="24"/>
          <w:szCs w:val="24"/>
          <w:lang w:eastAsia="zh-CN"/>
        </w:rPr>
        <w:t xml:space="preserve">Não haverá transferência voluntária de recursos financeiros entre os partícipes para a execução do presente Acordo de Cooperação Técnica. As despesas necessárias à plena consecução do objeto acordado, tais como: pessoal, deslocamentos, comunicação entre os órgãos e outras que se fizerem necessárias, correrão por conta das dotações específicas constantes nos orçamentos dos partícipes. </w:t>
      </w:r>
    </w:p>
    <w:p>
      <w:pPr>
        <w:pStyle w:val="Normal"/>
        <w:spacing w:lineRule="auto" w:line="360" w:before="0" w:after="0"/>
        <w:ind w:left="0" w:right="0" w:hanging="0"/>
        <w:contextualSpacing/>
        <w:rPr>
          <w:b w:val="false"/>
          <w:b w:val="false"/>
          <w:bCs w:val="false"/>
          <w:sz w:val="24"/>
          <w:szCs w:val="24"/>
          <w:lang w:eastAsia="zh-CN"/>
        </w:rPr>
      </w:pPr>
      <w:r>
        <w:rPr/>
      </w:r>
    </w:p>
    <w:p>
      <w:pPr>
        <w:pStyle w:val="Normal"/>
        <w:ind w:hanging="0"/>
        <w:jc w:val="both"/>
        <w:rPr>
          <w:rFonts w:ascii="Arial" w:hAnsi="Arial"/>
          <w:sz w:val="24"/>
          <w:szCs w:val="24"/>
        </w:rPr>
      </w:pPr>
      <w:r>
        <w:rPr>
          <w:rFonts w:ascii="Arial" w:hAnsi="Arial"/>
          <w:b/>
          <w:bCs/>
          <w:sz w:val="24"/>
          <w:szCs w:val="24"/>
        </w:rPr>
        <w:t>Subcláusula primeira</w:t>
      </w:r>
      <w:r>
        <w:rPr>
          <w:rFonts w:ascii="Arial" w:hAnsi="Arial"/>
          <w:sz w:val="24"/>
          <w:szCs w:val="24"/>
        </w:rPr>
        <w:t>. As ações que implicarem repasse de recursos serão viabilizadas por intermédio de instrumento específico.</w:t>
      </w:r>
    </w:p>
    <w:p>
      <w:pPr>
        <w:pStyle w:val="Normal"/>
        <w:ind w:hanging="0"/>
        <w:jc w:val="both"/>
        <w:rPr>
          <w:rFonts w:ascii="Arial" w:hAnsi="Arial"/>
          <w:sz w:val="24"/>
          <w:szCs w:val="24"/>
        </w:rPr>
      </w:pPr>
      <w:r>
        <w:rPr>
          <w:rFonts w:ascii="Arial" w:hAnsi="Arial"/>
          <w:sz w:val="24"/>
          <w:szCs w:val="24"/>
        </w:rPr>
      </w:r>
    </w:p>
    <w:p>
      <w:pPr>
        <w:pStyle w:val="Normal"/>
        <w:spacing w:lineRule="auto" w:line="360" w:before="0" w:after="0"/>
        <w:ind w:left="0" w:right="0" w:hanging="0"/>
        <w:contextualSpacing/>
        <w:jc w:val="both"/>
        <w:rPr>
          <w:rFonts w:ascii="Arial" w:hAnsi="Arial"/>
          <w:sz w:val="24"/>
          <w:szCs w:val="24"/>
        </w:rPr>
      </w:pPr>
      <w:r>
        <w:rPr>
          <w:rFonts w:ascii="Arial" w:hAnsi="Arial"/>
          <w:b/>
          <w:bCs/>
          <w:sz w:val="24"/>
          <w:szCs w:val="24"/>
          <w:lang w:eastAsia="zh-CN"/>
        </w:rPr>
        <w:t>Subcláusula segunda</w:t>
      </w:r>
      <w:r>
        <w:rPr>
          <w:rFonts w:ascii="Arial" w:hAnsi="Arial"/>
          <w:b/>
          <w:bCs w:val="false"/>
          <w:sz w:val="24"/>
          <w:szCs w:val="24"/>
          <w:lang w:eastAsia="zh-CN"/>
        </w:rPr>
        <w:t xml:space="preserve">. </w:t>
      </w:r>
      <w:r>
        <w:rPr>
          <w:rFonts w:ascii="Arial" w:hAnsi="Arial"/>
          <w:b w:val="false"/>
          <w:bCs w:val="false"/>
          <w:sz w:val="24"/>
          <w:szCs w:val="24"/>
          <w:lang w:eastAsia="zh-CN"/>
        </w:rPr>
        <w:t xml:space="preserve">Os serviços decorrentes do presente Acordo serão prestados em regime de cooperação mútua, não cabendo aos partícipes quaisquer remunerações. </w:t>
      </w:r>
    </w:p>
    <w:p>
      <w:pPr>
        <w:pStyle w:val="Normal"/>
        <w:spacing w:lineRule="auto" w:line="360" w:before="0" w:after="0"/>
        <w:ind w:left="0" w:right="0" w:hanging="0"/>
        <w:contextualSpacing/>
        <w:jc w:val="both"/>
        <w:rPr>
          <w:lang w:eastAsia="zh-CN"/>
        </w:rPr>
      </w:pPr>
      <w:r>
        <w:rPr>
          <w:rFonts w:ascii="Arial" w:hAnsi="Arial"/>
          <w:b w:val="false"/>
          <w:bCs w:val="false"/>
          <w:sz w:val="24"/>
          <w:szCs w:val="24"/>
        </w:rPr>
      </w:r>
    </w:p>
    <w:p>
      <w:pPr>
        <w:pStyle w:val="Normal"/>
        <w:spacing w:lineRule="auto" w:line="360" w:before="0" w:after="0"/>
        <w:ind w:left="0" w:right="0" w:hanging="0"/>
        <w:contextualSpacing/>
        <w:jc w:val="both"/>
        <w:rPr/>
      </w:pPr>
      <w:r>
        <w:rPr>
          <w:rFonts w:cs="Arial" w:ascii="Arial" w:hAnsi="Arial" w:cstheme="majorHAnsi"/>
          <w:b/>
          <w:bCs/>
          <w:sz w:val="24"/>
          <w:szCs w:val="24"/>
          <w:lang w:eastAsia="zh-CN"/>
        </w:rPr>
        <w:t xml:space="preserve">Subcláusula: </w:t>
      </w:r>
      <w:r>
        <w:rPr>
          <w:rFonts w:eastAsia="Times New Roman" w:cs="Arial" w:ascii="Arial" w:hAnsi="Arial" w:cstheme="majorHAnsi"/>
          <w:b/>
          <w:bCs/>
          <w:i/>
          <w:iCs/>
          <w:color w:val="FF0000"/>
          <w:sz w:val="20"/>
          <w:szCs w:val="20"/>
          <w:lang w:eastAsia="ar-SA"/>
        </w:rPr>
        <w:t xml:space="preserve">(Se for o caso) - </w:t>
      </w:r>
      <w:r>
        <w:rPr>
          <w:rFonts w:cs="Arial" w:ascii="Arial" w:hAnsi="Arial" w:cstheme="majorHAnsi"/>
          <w:b w:val="false"/>
          <w:bCs w:val="false"/>
          <w:i/>
          <w:iCs/>
          <w:color w:val="FF0000"/>
          <w:sz w:val="20"/>
          <w:szCs w:val="20"/>
          <w:lang w:eastAsia="zh-CN"/>
        </w:rPr>
        <w:t>(escrever aqui os recursos envolvidos, a fonte orçamentária, quando a ação ou atividade envolver recursos financeiros. Os recursos financeiros de que se trata essa subcláusula não são entre os partícipes (pagamentos diretos entre os partícipes), mas sim recursos que serão utilizados para a execução deste Plano de Trabalho)</w:t>
      </w:r>
    </w:p>
    <w:p>
      <w:pPr>
        <w:pStyle w:val="Normal"/>
        <w:spacing w:lineRule="auto" w:line="360" w:before="0" w:after="0"/>
        <w:ind w:left="0" w:right="0" w:hanging="0"/>
        <w:contextualSpacing/>
        <w:jc w:val="both"/>
        <w:rPr>
          <w:b w:val="false"/>
          <w:b w:val="false"/>
          <w:bCs w:val="false"/>
          <w:i/>
          <w:i/>
          <w:iCs/>
          <w:color w:val="FF0000"/>
          <w:sz w:val="20"/>
          <w:szCs w:val="20"/>
        </w:rPr>
      </w:pPr>
      <w:r>
        <w:rPr>
          <w:b w:val="false"/>
          <w:bCs w:val="false"/>
          <w:i/>
          <w:iCs/>
          <w:color w:val="FF0000"/>
          <w:sz w:val="20"/>
          <w:szCs w:val="20"/>
        </w:rPr>
      </w:r>
    </w:p>
    <w:p>
      <w:pPr>
        <w:pStyle w:val="Normal"/>
        <w:spacing w:lineRule="auto" w:line="360" w:before="0" w:after="0"/>
        <w:ind w:left="0" w:right="0" w:hanging="0"/>
        <w:contextualSpacing/>
        <w:rPr/>
      </w:pPr>
      <w:r>
        <w:rPr>
          <w:b/>
          <w:bCs/>
          <w:sz w:val="24"/>
          <w:szCs w:val="24"/>
          <w:lang w:eastAsia="pt-BR"/>
        </w:rPr>
        <w:t xml:space="preserve">CLÁUSULA </w:t>
      </w:r>
      <w:r>
        <w:rPr>
          <w:rFonts w:eastAsia="Times New Roman" w:cs="Arial"/>
          <w:b/>
          <w:bCs/>
          <w:color w:val="auto"/>
          <w:kern w:val="0"/>
          <w:sz w:val="24"/>
          <w:szCs w:val="24"/>
          <w:lang w:val="pt-BR" w:eastAsia="pt-BR" w:bidi="ar-SA"/>
        </w:rPr>
        <w:t>OITAVA</w:t>
      </w:r>
      <w:r>
        <w:rPr>
          <w:b/>
          <w:bCs/>
          <w:sz w:val="24"/>
          <w:szCs w:val="24"/>
          <w:lang w:eastAsia="pt-BR"/>
        </w:rPr>
        <w:t xml:space="preserve"> – DOS RECURSOS HUMANOS</w:t>
      </w:r>
    </w:p>
    <w:p>
      <w:pPr>
        <w:pStyle w:val="Normal"/>
        <w:spacing w:lineRule="auto" w:line="360" w:before="0" w:after="0"/>
        <w:ind w:left="0" w:right="0" w:hanging="0"/>
        <w:contextualSpacing/>
        <w:rPr>
          <w:rFonts w:ascii="Arial" w:hAnsi="Arial"/>
          <w:sz w:val="24"/>
          <w:szCs w:val="24"/>
        </w:rPr>
      </w:pPr>
      <w:r>
        <w:rPr>
          <w:rFonts w:ascii="Arial" w:hAnsi="Arial"/>
          <w:bCs/>
          <w:sz w:val="24"/>
          <w:szCs w:val="24"/>
          <w:lang w:eastAsia="pt-BR"/>
        </w:rPr>
        <w:t>Os recursos humanos utilizados por quaisquer dos p</w:t>
      </w:r>
      <w:r>
        <w:rPr>
          <w:rFonts w:eastAsia="Times New Roman" w:cs="Arial" w:ascii="Arial" w:hAnsi="Arial"/>
          <w:bCs/>
          <w:color w:val="auto"/>
          <w:kern w:val="0"/>
          <w:sz w:val="24"/>
          <w:szCs w:val="24"/>
          <w:lang w:val="pt-BR" w:eastAsia="pt-BR" w:bidi="ar-SA"/>
        </w:rPr>
        <w:t>artícipes</w:t>
      </w:r>
      <w:r>
        <w:rPr>
          <w:rFonts w:ascii="Arial" w:hAnsi="Arial"/>
          <w:bCs/>
          <w:sz w:val="24"/>
          <w:szCs w:val="24"/>
          <w:lang w:eastAsia="pt-BR"/>
        </w:rPr>
        <w:t xml:space="preserve">, em decorrência das atividades inerentes ao presente Acordo, não sofrerão alteração na sua vinculação nem acarretarão quaisquer ônus ao outro partícipe. </w:t>
      </w:r>
    </w:p>
    <w:p>
      <w:pPr>
        <w:pStyle w:val="Normal"/>
        <w:spacing w:lineRule="auto" w:line="360" w:before="0" w:after="0"/>
        <w:ind w:left="0" w:right="0" w:hanging="0"/>
        <w:contextualSpacing/>
        <w:rPr>
          <w:bCs/>
          <w:lang w:eastAsia="pt-BR"/>
        </w:rPr>
      </w:pPr>
      <w:r>
        <w:rPr>
          <w:rFonts w:ascii="Arial" w:hAnsi="Arial"/>
          <w:sz w:val="24"/>
          <w:szCs w:val="24"/>
        </w:rPr>
      </w:r>
    </w:p>
    <w:p>
      <w:pPr>
        <w:pStyle w:val="Normal"/>
        <w:spacing w:lineRule="auto" w:line="360" w:before="0" w:after="0"/>
        <w:ind w:left="0" w:right="0" w:hanging="0"/>
        <w:contextualSpacing/>
        <w:jc w:val="both"/>
        <w:rPr>
          <w:rFonts w:ascii="Arial" w:hAnsi="Arial"/>
          <w:sz w:val="24"/>
          <w:szCs w:val="24"/>
        </w:rPr>
      </w:pPr>
      <w:r>
        <w:rPr>
          <w:rFonts w:ascii="Arial" w:hAnsi="Arial"/>
          <w:b/>
          <w:bCs/>
          <w:sz w:val="24"/>
          <w:szCs w:val="24"/>
          <w:lang w:eastAsia="pt-BR"/>
        </w:rPr>
        <w:t>Subcláusula única.</w:t>
      </w:r>
      <w:r>
        <w:rPr>
          <w:rFonts w:ascii="Arial" w:hAnsi="Arial"/>
          <w:bCs/>
          <w:sz w:val="24"/>
          <w:szCs w:val="24"/>
          <w:lang w:eastAsia="pt-BR"/>
        </w:rPr>
        <w:t xml:space="preserve"> As atividades não implicarão cessão de servidores, que poderão ser designados apenas para o desempenho de ação específica prevista no acordo e por prazo determinado. </w:t>
      </w:r>
    </w:p>
    <w:p>
      <w:pPr>
        <w:pStyle w:val="Normal"/>
        <w:spacing w:lineRule="auto" w:line="360" w:before="0" w:after="0"/>
        <w:ind w:left="0" w:right="0" w:hanging="0"/>
        <w:contextualSpacing/>
        <w:rPr>
          <w:bCs/>
          <w:lang w:eastAsia="pt-BR"/>
        </w:rPr>
      </w:pPr>
      <w:r>
        <w:rPr>
          <w:bCs/>
          <w:lang w:eastAsia="pt-BR"/>
        </w:rPr>
      </w:r>
    </w:p>
    <w:p>
      <w:pPr>
        <w:pStyle w:val="Normal"/>
        <w:spacing w:lineRule="auto" w:line="360" w:before="0" w:after="0"/>
        <w:ind w:left="0" w:right="0" w:hanging="0"/>
        <w:contextualSpacing/>
        <w:rPr/>
      </w:pPr>
      <w:r>
        <w:rPr>
          <w:b/>
          <w:bCs/>
          <w:sz w:val="24"/>
          <w:szCs w:val="24"/>
          <w:lang w:eastAsia="pt-BR"/>
        </w:rPr>
        <w:t xml:space="preserve">CLÁUSULA </w:t>
      </w:r>
      <w:r>
        <w:rPr>
          <w:rFonts w:eastAsia="Times New Roman" w:cs="Arial"/>
          <w:b/>
          <w:bCs/>
          <w:color w:val="auto"/>
          <w:kern w:val="0"/>
          <w:sz w:val="24"/>
          <w:szCs w:val="24"/>
          <w:lang w:val="pt-BR" w:eastAsia="pt-BR" w:bidi="ar-SA"/>
        </w:rPr>
        <w:t>NONA</w:t>
      </w:r>
      <w:r>
        <w:rPr>
          <w:b/>
          <w:bCs/>
          <w:sz w:val="24"/>
          <w:szCs w:val="24"/>
          <w:lang w:eastAsia="pt-BR"/>
        </w:rPr>
        <w:t xml:space="preserve"> - DO PRAZO E VIGÊNCIA</w:t>
      </w:r>
    </w:p>
    <w:p>
      <w:pPr>
        <w:pStyle w:val="Normal"/>
        <w:spacing w:lineRule="auto" w:line="360" w:before="0" w:after="0"/>
        <w:ind w:left="0" w:right="0" w:hanging="0"/>
        <w:contextualSpacing/>
        <w:rPr/>
      </w:pPr>
      <w:r>
        <w:rPr>
          <w:bCs/>
          <w:sz w:val="24"/>
          <w:szCs w:val="24"/>
          <w:lang w:eastAsia="pt-BR"/>
        </w:rPr>
        <w:t xml:space="preserve">O prazo de vigência deste Acordo de Cooperação será de </w:t>
      </w:r>
      <w:r>
        <w:rPr>
          <w:rFonts w:eastAsia="Times New Roman" w:cs="Arial"/>
          <w:bCs/>
          <w:color w:val="C9211E"/>
          <w:kern w:val="0"/>
          <w:sz w:val="24"/>
          <w:szCs w:val="24"/>
          <w:lang w:val="pt-BR" w:eastAsia="pt-BR" w:bidi="ar-SA"/>
        </w:rPr>
        <w:t>XX</w:t>
      </w:r>
      <w:r>
        <w:rPr>
          <w:bCs/>
          <w:color w:val="C9211E"/>
          <w:sz w:val="24"/>
          <w:szCs w:val="24"/>
          <w:lang w:eastAsia="pt-BR"/>
        </w:rPr>
        <w:t xml:space="preserve"> meses/anos</w:t>
      </w:r>
      <w:r>
        <w:rPr>
          <w:bCs/>
          <w:sz w:val="24"/>
          <w:szCs w:val="24"/>
          <w:lang w:eastAsia="pt-BR"/>
        </w:rPr>
        <w:t xml:space="preserve"> a partir da sua assinatura e publicação no Diário Oficial da União, podendo ser prorrogado, mediante a celebração de aditivo.</w:t>
      </w:r>
    </w:p>
    <w:p>
      <w:pPr>
        <w:pStyle w:val="Normal"/>
        <w:spacing w:lineRule="auto" w:line="360" w:before="0" w:after="0"/>
        <w:ind w:left="0" w:right="0" w:hanging="0"/>
        <w:contextualSpacing/>
        <w:rPr>
          <w:bCs/>
          <w:lang w:eastAsia="pt-BR"/>
        </w:rPr>
      </w:pPr>
      <w:r>
        <w:rPr>
          <w:rFonts w:ascii="Arial" w:hAnsi="Arial"/>
          <w:sz w:val="20"/>
          <w:szCs w:val="20"/>
        </w:rPr>
      </w:r>
    </w:p>
    <w:p>
      <w:pPr>
        <w:pStyle w:val="Normal"/>
        <w:pBdr>
          <w:top w:val="single" w:sz="4" w:space="1" w:color="000000"/>
          <w:left w:val="single" w:sz="4" w:space="4" w:color="000000"/>
          <w:bottom w:val="single" w:sz="4" w:space="1" w:color="000000"/>
          <w:right w:val="single" w:sz="4" w:space="4" w:color="000000"/>
        </w:pBdr>
        <w:ind w:hanging="0"/>
        <w:jc w:val="both"/>
        <w:rPr>
          <w:rFonts w:ascii="Arial" w:hAnsi="Arial"/>
          <w:sz w:val="20"/>
          <w:szCs w:val="20"/>
        </w:rPr>
      </w:pPr>
      <w:r>
        <w:rPr>
          <w:rFonts w:ascii="Arial" w:hAnsi="Arial"/>
          <w:b/>
          <w:bCs/>
          <w:sz w:val="20"/>
          <w:szCs w:val="20"/>
        </w:rPr>
        <w:t>Nota Explicativa 1</w:t>
      </w:r>
      <w:r>
        <w:rPr>
          <w:rFonts w:ascii="Arial" w:hAnsi="Arial"/>
          <w:sz w:val="20"/>
          <w:szCs w:val="20"/>
        </w:rPr>
        <w:t xml:space="preserve">: O instrumento não pode ter prazo de vigência indeterminado. A propósito, a ON 44/2014 – AGU traz o seguinte enunciado:  </w:t>
      </w:r>
    </w:p>
    <w:p>
      <w:pPr>
        <w:pStyle w:val="Normal"/>
        <w:pBdr>
          <w:top w:val="single" w:sz="4" w:space="1" w:color="000000"/>
          <w:left w:val="single" w:sz="4" w:space="4" w:color="000000"/>
          <w:bottom w:val="single" w:sz="4" w:space="1" w:color="000000"/>
          <w:right w:val="single" w:sz="4" w:space="4" w:color="000000"/>
        </w:pBdr>
        <w:spacing w:lineRule="auto" w:line="360" w:before="0" w:after="0"/>
        <w:ind w:left="0" w:right="0" w:hanging="0"/>
        <w:contextualSpacing/>
        <w:jc w:val="both"/>
        <w:rPr>
          <w:rFonts w:ascii="Arial" w:hAnsi="Arial"/>
          <w:sz w:val="20"/>
          <w:szCs w:val="20"/>
        </w:rPr>
      </w:pPr>
      <w:r>
        <w:rPr>
          <w:rFonts w:ascii="Arial" w:hAnsi="Arial"/>
          <w:bCs/>
          <w:i/>
          <w:iCs/>
          <w:sz w:val="20"/>
          <w:szCs w:val="20"/>
          <w:lang w:eastAsia="pt-BR"/>
        </w:rPr>
        <w:t>I - A vigência do convênio deverá ser dimensionada segundo o prazo previsto para o alcance das metas traçadas no plano de trabalho, não se aplicando o inciso II do art. 57 da Lei nº 8.666, de 1993. II - Ressalvadas as hipóteses previstas em Lei, não é admitida a vigência por prazo indeterminado, devendo constar no plano de trabalho o respectivo cronograma de execução. III - É vedada a inclusão posterior de metas que não tenham relação com o objeto inicialmente pactuado.</w:t>
      </w:r>
    </w:p>
    <w:p>
      <w:pPr>
        <w:pStyle w:val="Normal"/>
        <w:pBdr>
          <w:top w:val="single" w:sz="4" w:space="1" w:color="000000"/>
          <w:left w:val="single" w:sz="4" w:space="4" w:color="000000"/>
          <w:bottom w:val="single" w:sz="4" w:space="1" w:color="000000"/>
          <w:right w:val="single" w:sz="4" w:space="4" w:color="000000"/>
        </w:pBdr>
        <w:ind w:hanging="0"/>
        <w:jc w:val="both"/>
        <w:rPr>
          <w:rFonts w:ascii="Arial" w:hAnsi="Arial"/>
          <w:sz w:val="20"/>
          <w:szCs w:val="20"/>
        </w:rPr>
      </w:pPr>
      <w:r>
        <w:rPr>
          <w:rFonts w:ascii="Arial" w:hAnsi="Arial"/>
          <w:b/>
          <w:bCs/>
          <w:sz w:val="20"/>
          <w:szCs w:val="20"/>
        </w:rPr>
        <w:t>Nota Explicativa 2</w:t>
      </w:r>
      <w:r>
        <w:rPr>
          <w:rFonts w:ascii="Arial" w:hAnsi="Arial"/>
          <w:sz w:val="20"/>
          <w:szCs w:val="20"/>
        </w:rPr>
        <w:t>: A prorrogação deverá ser ajustada pelas partes, com a motivação explicitada nos autos, assim como deverá ser seguida de novo plano de trabalho, com os ajustes no cronograma de execução.</w:t>
      </w:r>
    </w:p>
    <w:p>
      <w:pPr>
        <w:pStyle w:val="Normal"/>
        <w:spacing w:lineRule="auto" w:line="360" w:before="0" w:after="0"/>
        <w:ind w:left="0" w:right="0" w:hanging="0"/>
        <w:contextualSpacing/>
        <w:rPr>
          <w:bCs/>
          <w:lang w:eastAsia="pt-BR"/>
        </w:rPr>
      </w:pPr>
      <w:r>
        <w:rPr>
          <w:bCs/>
          <w:lang w:eastAsia="pt-BR"/>
        </w:rPr>
      </w:r>
    </w:p>
    <w:p>
      <w:pPr>
        <w:pStyle w:val="Normal"/>
        <w:spacing w:lineRule="auto" w:line="360" w:before="0" w:after="0"/>
        <w:ind w:left="0" w:right="0" w:hanging="0"/>
        <w:contextualSpacing/>
        <w:rPr/>
      </w:pPr>
      <w:r>
        <w:rPr>
          <w:b/>
          <w:bCs/>
          <w:sz w:val="24"/>
          <w:szCs w:val="24"/>
          <w:lang w:eastAsia="pt-BR"/>
        </w:rPr>
        <w:t xml:space="preserve">CLÁUSULA DÉCIMA  - DAS ALTERAÇÕES </w:t>
      </w:r>
    </w:p>
    <w:p>
      <w:pPr>
        <w:pStyle w:val="Normal"/>
        <w:spacing w:lineRule="auto" w:line="360" w:before="0" w:after="0"/>
        <w:ind w:left="0" w:right="0" w:hanging="0"/>
        <w:contextualSpacing/>
        <w:rPr>
          <w:rFonts w:ascii="Arial" w:hAnsi="Arial"/>
          <w:sz w:val="24"/>
          <w:szCs w:val="24"/>
        </w:rPr>
      </w:pPr>
      <w:r>
        <w:rPr>
          <w:bCs/>
          <w:sz w:val="24"/>
          <w:szCs w:val="24"/>
          <w:lang w:eastAsia="pt-BR"/>
        </w:rPr>
        <w:t xml:space="preserve">O presente Acordo poderá ser alterado, no todo ou em parte, mediante termo aditivo, desde que mantido o seu objeto. </w:t>
      </w:r>
    </w:p>
    <w:p>
      <w:pPr>
        <w:pStyle w:val="Normal"/>
        <w:spacing w:lineRule="auto" w:line="360" w:before="0" w:after="0"/>
        <w:ind w:left="0" w:right="0" w:hanging="0"/>
        <w:contextualSpacing/>
        <w:rPr>
          <w:bCs/>
          <w:lang w:eastAsia="pt-BR"/>
        </w:rPr>
      </w:pPr>
      <w:r>
        <w:rPr>
          <w:bCs/>
          <w:lang w:eastAsia="pt-BR"/>
        </w:rPr>
      </w:r>
    </w:p>
    <w:p>
      <w:pPr>
        <w:pStyle w:val="Normal"/>
        <w:spacing w:lineRule="auto" w:line="360" w:before="0" w:after="0"/>
        <w:ind w:left="0" w:right="0" w:hanging="0"/>
        <w:contextualSpacing/>
        <w:rPr/>
      </w:pPr>
      <w:r>
        <w:rPr>
          <w:b/>
          <w:bCs/>
          <w:lang w:eastAsia="pt-BR"/>
        </w:rPr>
        <w:t>CLÁUSULA DÉCIMA PRIMEIRA - DIREITOS INTELECTUAIS</w:t>
      </w:r>
      <w:r>
        <w:rPr>
          <w:bCs/>
          <w:lang w:eastAsia="pt-BR"/>
        </w:rPr>
        <w:t xml:space="preserve"> </w:t>
      </w:r>
      <w:r>
        <w:rPr>
          <w:b/>
          <w:bCs/>
          <w:i/>
          <w:iCs/>
          <w:color w:val="C9211E"/>
          <w:lang w:eastAsia="pt-BR"/>
        </w:rPr>
        <w:t>- (Se for o Caso)</w:t>
      </w:r>
    </w:p>
    <w:p>
      <w:pPr>
        <w:pStyle w:val="Normal"/>
        <w:ind w:hanging="0"/>
        <w:jc w:val="both"/>
        <w:rPr>
          <w:rFonts w:ascii="Arial" w:hAnsi="Arial"/>
          <w:b w:val="false"/>
          <w:b w:val="false"/>
          <w:bCs w:val="false"/>
          <w:color w:val="000000"/>
        </w:rPr>
      </w:pPr>
      <w:r>
        <w:rPr>
          <w:rFonts w:ascii="Arial" w:hAnsi="Arial"/>
          <w:b w:val="false"/>
          <w:bCs w:val="false"/>
          <w:color w:val="000000"/>
          <w:sz w:val="24"/>
          <w:szCs w:val="24"/>
        </w:rPr>
        <w:t xml:space="preserve">Os direitos intelectuais, decorrentes do presente Acordo de Cooperação, integram o patrimônio dos partícipes, sujeitando-se às regras da legislação específica. Mediante instrumento próprio, que deverá acompanhar o presente, devem ser acordados entre os mesmos o disciplinamento quanto ao procedimento para o reconhecimento do direito, a fruição, a utilização, a disponibilização e a confidencialidade, quando necessária. </w:t>
      </w:r>
    </w:p>
    <w:p>
      <w:pPr>
        <w:pStyle w:val="Normal"/>
        <w:ind w:hanging="0"/>
        <w:jc w:val="both"/>
        <w:rPr>
          <w:sz w:val="24"/>
          <w:szCs w:val="24"/>
        </w:rPr>
      </w:pPr>
      <w:r>
        <w:rPr>
          <w:rFonts w:ascii="Arial" w:hAnsi="Arial"/>
          <w:b w:val="false"/>
          <w:bCs w:val="false"/>
          <w:color w:val="000000"/>
        </w:rPr>
      </w:r>
    </w:p>
    <w:p>
      <w:pPr>
        <w:pStyle w:val="Normal"/>
        <w:ind w:hanging="0"/>
        <w:jc w:val="both"/>
        <w:rPr>
          <w:rFonts w:ascii="Arial" w:hAnsi="Arial"/>
          <w:b w:val="false"/>
          <w:b w:val="false"/>
          <w:bCs w:val="false"/>
          <w:color w:val="000000"/>
        </w:rPr>
      </w:pPr>
      <w:r>
        <w:rPr>
          <w:rFonts w:ascii="Arial" w:hAnsi="Arial"/>
          <w:b/>
          <w:bCs/>
          <w:color w:val="000000"/>
          <w:sz w:val="24"/>
          <w:szCs w:val="24"/>
        </w:rPr>
        <w:t>Subcláusula primeira.</w:t>
      </w:r>
      <w:r>
        <w:rPr>
          <w:rFonts w:ascii="Arial" w:hAnsi="Arial"/>
          <w:b w:val="false"/>
          <w:bCs w:val="false"/>
          <w:color w:val="000000"/>
          <w:sz w:val="24"/>
          <w:szCs w:val="24"/>
        </w:rPr>
        <w:t xml:space="preserve"> Os direitos serão conferidos igualmente aos partícipes, cuja atuação deverá ser em conjunto, salvo se estipulado de forma diversa. </w:t>
      </w:r>
    </w:p>
    <w:p>
      <w:pPr>
        <w:pStyle w:val="Normal"/>
        <w:ind w:hanging="0"/>
        <w:jc w:val="both"/>
        <w:rPr>
          <w:sz w:val="24"/>
          <w:szCs w:val="24"/>
        </w:rPr>
      </w:pPr>
      <w:r>
        <w:rPr>
          <w:rFonts w:ascii="Arial" w:hAnsi="Arial"/>
          <w:b w:val="false"/>
          <w:bCs w:val="false"/>
          <w:color w:val="000000"/>
        </w:rPr>
      </w:r>
    </w:p>
    <w:p>
      <w:pPr>
        <w:pStyle w:val="Normal"/>
        <w:ind w:hanging="0"/>
        <w:jc w:val="both"/>
        <w:rPr>
          <w:rFonts w:ascii="Arial" w:hAnsi="Arial"/>
          <w:b w:val="false"/>
          <w:b w:val="false"/>
          <w:bCs w:val="false"/>
          <w:color w:val="000000"/>
        </w:rPr>
      </w:pPr>
      <w:r>
        <w:rPr>
          <w:rFonts w:ascii="Arial" w:hAnsi="Arial"/>
          <w:b/>
          <w:bCs/>
          <w:color w:val="000000"/>
          <w:sz w:val="24"/>
          <w:szCs w:val="24"/>
        </w:rPr>
        <w:t>Subcláusula segunda.</w:t>
      </w:r>
      <w:r>
        <w:rPr>
          <w:rFonts w:ascii="Arial" w:hAnsi="Arial"/>
          <w:b w:val="false"/>
          <w:bCs w:val="false"/>
          <w:color w:val="000000"/>
          <w:sz w:val="24"/>
          <w:szCs w:val="24"/>
        </w:rPr>
        <w:t xml:space="preserve"> A divulgação do produto da parceria depende do consentimento prévio dos partícipes.</w:t>
      </w:r>
    </w:p>
    <w:p>
      <w:pPr>
        <w:pStyle w:val="Normal"/>
        <w:spacing w:lineRule="auto" w:line="360" w:before="0" w:after="0"/>
        <w:ind w:left="0" w:right="0" w:hanging="0"/>
        <w:contextualSpacing/>
        <w:jc w:val="both"/>
        <w:rPr>
          <w:bCs/>
          <w:lang w:eastAsia="pt-BR"/>
        </w:rPr>
      </w:pPr>
      <w:r>
        <w:rPr>
          <w:rFonts w:ascii="Swis721 Lt BT" w:hAnsi="Swis721 Lt BT"/>
          <w:bCs/>
          <w:sz w:val="24"/>
          <w:szCs w:val="24"/>
          <w:lang w:eastAsia="pt-BR"/>
        </w:rPr>
      </w:r>
    </w:p>
    <w:p>
      <w:pPr>
        <w:pStyle w:val="Normal"/>
        <w:pBdr>
          <w:top w:val="single" w:sz="4" w:space="1" w:color="000000"/>
          <w:left w:val="single" w:sz="4" w:space="4" w:color="000000"/>
          <w:bottom w:val="single" w:sz="4" w:space="1" w:color="000000"/>
          <w:right w:val="single" w:sz="4" w:space="4" w:color="000000"/>
        </w:pBdr>
        <w:spacing w:lineRule="auto" w:line="360" w:before="0" w:after="0"/>
        <w:ind w:left="0" w:right="0" w:hanging="0"/>
        <w:contextualSpacing/>
        <w:jc w:val="both"/>
        <w:rPr>
          <w:rFonts w:ascii="Arial" w:hAnsi="Arial"/>
          <w:bCs/>
          <w:sz w:val="18"/>
          <w:szCs w:val="18"/>
          <w:lang w:eastAsia="pt-BR"/>
        </w:rPr>
      </w:pPr>
      <w:r>
        <w:rPr>
          <w:rFonts w:ascii="Arial" w:hAnsi="Arial"/>
          <w:b/>
          <w:bCs/>
          <w:sz w:val="18"/>
          <w:szCs w:val="18"/>
          <w:lang w:eastAsia="pt-BR"/>
        </w:rPr>
        <w:t>Nota Explicativa</w:t>
      </w:r>
      <w:r>
        <w:rPr>
          <w:rFonts w:ascii="Arial" w:hAnsi="Arial"/>
          <w:bCs/>
          <w:sz w:val="18"/>
          <w:szCs w:val="18"/>
          <w:lang w:eastAsia="pt-BR"/>
        </w:rPr>
        <w:t xml:space="preserve">: A presente cláusula deverá ser adaptada, inclusive com inserções, de acordo com as peculiaridades e condições do objeto, assim como a variedade de legislação regente da propriedade intelectual, dentre as quais se destacam as Leis 9.279/1996, 9.456/1997, 9.609/1998, 9.610/1998 e 11.484/2007.  </w:t>
      </w:r>
    </w:p>
    <w:p>
      <w:pPr>
        <w:pStyle w:val="Normal"/>
        <w:spacing w:lineRule="auto" w:line="360" w:before="0" w:after="0"/>
        <w:ind w:left="0" w:right="0" w:hanging="0"/>
        <w:contextualSpacing/>
        <w:rPr>
          <w:b/>
          <w:b/>
          <w:bCs/>
          <w:sz w:val="24"/>
          <w:szCs w:val="24"/>
          <w:lang w:eastAsia="pt-BR"/>
        </w:rPr>
      </w:pPr>
      <w:r>
        <w:rPr/>
      </w:r>
    </w:p>
    <w:p>
      <w:pPr>
        <w:pStyle w:val="Normal"/>
        <w:spacing w:lineRule="auto" w:line="360" w:before="0" w:after="0"/>
        <w:ind w:left="0" w:right="0" w:hanging="0"/>
        <w:contextualSpacing/>
        <w:rPr>
          <w:rFonts w:ascii="Arial" w:hAnsi="Arial"/>
          <w:sz w:val="24"/>
          <w:szCs w:val="24"/>
        </w:rPr>
      </w:pPr>
      <w:r>
        <w:rPr>
          <w:b/>
          <w:bCs/>
          <w:sz w:val="24"/>
          <w:szCs w:val="24"/>
          <w:lang w:eastAsia="pt-BR"/>
        </w:rPr>
        <w:t>CLÁUSULA DÉCIMA SEGUNDA- DO ENCERRAMENTO</w:t>
      </w:r>
    </w:p>
    <w:p>
      <w:pPr>
        <w:pStyle w:val="Normal"/>
        <w:spacing w:lineRule="auto" w:line="360" w:before="0" w:after="0"/>
        <w:ind w:left="0" w:right="0" w:hanging="0"/>
        <w:contextualSpacing/>
        <w:rPr>
          <w:rFonts w:ascii="Arial" w:hAnsi="Arial"/>
          <w:sz w:val="24"/>
          <w:szCs w:val="24"/>
        </w:rPr>
      </w:pPr>
      <w:r>
        <w:rPr>
          <w:bCs/>
          <w:sz w:val="24"/>
          <w:szCs w:val="24"/>
          <w:lang w:eastAsia="pt-BR"/>
        </w:rPr>
        <w:t xml:space="preserve">O presente acordo de cooperação técnica será extinto: </w:t>
      </w:r>
    </w:p>
    <w:p>
      <w:pPr>
        <w:pStyle w:val="Normal"/>
        <w:spacing w:lineRule="auto" w:line="360" w:before="0" w:after="0"/>
        <w:ind w:left="0" w:right="0" w:hanging="0"/>
        <w:contextualSpacing/>
        <w:rPr>
          <w:rFonts w:ascii="Arial" w:hAnsi="Arial"/>
          <w:sz w:val="24"/>
          <w:szCs w:val="24"/>
        </w:rPr>
      </w:pPr>
      <w:r>
        <w:rPr>
          <w:bCs/>
          <w:sz w:val="24"/>
          <w:szCs w:val="24"/>
          <w:lang w:eastAsia="pt-BR"/>
        </w:rPr>
        <w:t xml:space="preserve">a) por advento do termo final, sem que os partícipes tenham até então firmado aditivo para renová-lo; </w:t>
      </w:r>
    </w:p>
    <w:p>
      <w:pPr>
        <w:pStyle w:val="Normal"/>
        <w:spacing w:lineRule="auto" w:line="360" w:before="0" w:after="0"/>
        <w:ind w:left="0" w:right="0" w:hanging="0"/>
        <w:contextualSpacing/>
        <w:rPr>
          <w:rFonts w:ascii="Arial" w:hAnsi="Arial"/>
          <w:sz w:val="24"/>
          <w:szCs w:val="24"/>
        </w:rPr>
      </w:pPr>
      <w:r>
        <w:rPr>
          <w:bCs/>
          <w:sz w:val="24"/>
          <w:szCs w:val="24"/>
          <w:lang w:eastAsia="pt-BR"/>
        </w:rPr>
        <w:t xml:space="preserve">b) por denúncia de qualquer dos partícipes, se não tiver mais interesse na manutenção da parceria, notificando o parceiro com antecedência mínima de </w:t>
      </w:r>
      <w:r>
        <w:rPr>
          <w:rFonts w:eastAsia="Times New Roman" w:cs="Arial"/>
          <w:bCs/>
          <w:color w:val="auto"/>
          <w:kern w:val="0"/>
          <w:sz w:val="24"/>
          <w:szCs w:val="24"/>
          <w:lang w:val="pt-BR" w:eastAsia="pt-BR" w:bidi="ar-SA"/>
        </w:rPr>
        <w:t xml:space="preserve">15 </w:t>
      </w:r>
      <w:r>
        <w:rPr>
          <w:bCs/>
          <w:sz w:val="24"/>
          <w:szCs w:val="24"/>
          <w:lang w:eastAsia="pt-BR"/>
        </w:rPr>
        <w:t xml:space="preserve">dias; </w:t>
      </w:r>
    </w:p>
    <w:p>
      <w:pPr>
        <w:pStyle w:val="Normal"/>
        <w:spacing w:lineRule="auto" w:line="360" w:before="0" w:after="0"/>
        <w:ind w:left="0" w:right="0" w:hanging="0"/>
        <w:contextualSpacing/>
        <w:rPr>
          <w:rFonts w:ascii="Arial" w:hAnsi="Arial"/>
          <w:sz w:val="24"/>
          <w:szCs w:val="24"/>
        </w:rPr>
      </w:pPr>
      <w:r>
        <w:rPr>
          <w:bCs/>
          <w:sz w:val="24"/>
          <w:szCs w:val="24"/>
          <w:lang w:eastAsia="pt-BR"/>
        </w:rPr>
        <w:t>c) por consenso dos partícipes antes do advento do termo final de vigência, devendo ser devidamente formalizado;</w:t>
      </w:r>
    </w:p>
    <w:p>
      <w:pPr>
        <w:pStyle w:val="Normal"/>
        <w:spacing w:lineRule="auto" w:line="360" w:before="0" w:after="0"/>
        <w:ind w:left="0" w:right="0" w:hanging="0"/>
        <w:contextualSpacing/>
        <w:rPr/>
      </w:pPr>
      <w:r>
        <w:rPr>
          <w:bCs/>
          <w:sz w:val="24"/>
          <w:szCs w:val="24"/>
          <w:lang w:eastAsia="pt-BR"/>
        </w:rPr>
        <w:t>d) por rescisão.</w:t>
      </w:r>
    </w:p>
    <w:p>
      <w:pPr>
        <w:pStyle w:val="Normal"/>
        <w:spacing w:lineRule="auto" w:line="360" w:before="0" w:after="0"/>
        <w:ind w:left="0" w:right="0" w:hanging="0"/>
        <w:contextualSpacing/>
        <w:rPr/>
      </w:pPr>
      <w:r>
        <w:rPr>
          <w:b/>
          <w:bCs/>
          <w:sz w:val="24"/>
          <w:szCs w:val="24"/>
          <w:lang w:eastAsia="pt-BR"/>
        </w:rPr>
        <w:t>Subcláusula primeira.</w:t>
      </w:r>
      <w:r>
        <w:rPr>
          <w:bCs/>
          <w:sz w:val="24"/>
          <w:szCs w:val="24"/>
          <w:lang w:eastAsia="pt-BR"/>
        </w:rPr>
        <w:t xml:space="preserve"> Havendo a extinção do ajuste, cada um dos partícipes fica responsável pelo cumprimento das obrigações assumidas até a data do encerramento.</w:t>
      </w:r>
    </w:p>
    <w:p>
      <w:pPr>
        <w:pStyle w:val="Normal"/>
        <w:spacing w:lineRule="auto" w:line="360" w:before="0" w:after="0"/>
        <w:ind w:left="0" w:right="0" w:hanging="0"/>
        <w:contextualSpacing/>
        <w:rPr>
          <w:rFonts w:ascii="Arial" w:hAnsi="Arial"/>
          <w:sz w:val="24"/>
          <w:szCs w:val="24"/>
        </w:rPr>
      </w:pPr>
      <w:r>
        <w:rPr>
          <w:b/>
          <w:bCs/>
          <w:sz w:val="24"/>
          <w:szCs w:val="24"/>
          <w:lang w:eastAsia="pt-BR"/>
        </w:rPr>
        <w:t xml:space="preserve">Subcláusula segunda. </w:t>
      </w:r>
      <w:r>
        <w:rPr>
          <w:bCs/>
          <w:sz w:val="24"/>
          <w:szCs w:val="24"/>
          <w:lang w:eastAsia="pt-BR"/>
        </w:rPr>
        <w:t xml:space="preserve">Se na data da extinção não houver sido alcançado o resultado, as partes entabularão acordo para cumprimento, se possível, de meta ou etapa que possa ter continuidade posteriormente, ainda que de forma unilateral por um dos partícipes. </w:t>
      </w:r>
    </w:p>
    <w:p>
      <w:pPr>
        <w:pStyle w:val="Normal"/>
        <w:spacing w:lineRule="auto" w:line="360" w:before="0" w:after="0"/>
        <w:ind w:left="0" w:right="0" w:hanging="0"/>
        <w:contextualSpacing/>
        <w:rPr>
          <w:bCs/>
          <w:lang w:eastAsia="pt-BR"/>
        </w:rPr>
      </w:pPr>
      <w:r>
        <w:rPr>
          <w:bCs/>
          <w:lang w:eastAsia="pt-BR"/>
        </w:rPr>
      </w:r>
    </w:p>
    <w:p>
      <w:pPr>
        <w:pStyle w:val="Normal"/>
        <w:spacing w:lineRule="auto" w:line="360" w:before="0" w:after="0"/>
        <w:ind w:left="0" w:right="0" w:hanging="0"/>
        <w:contextualSpacing/>
        <w:rPr>
          <w:rFonts w:ascii="Arial" w:hAnsi="Arial"/>
          <w:b/>
          <w:b/>
          <w:bCs/>
          <w:sz w:val="24"/>
          <w:szCs w:val="24"/>
        </w:rPr>
      </w:pPr>
      <w:r>
        <w:rPr>
          <w:b/>
          <w:bCs/>
          <w:sz w:val="24"/>
          <w:szCs w:val="24"/>
          <w:lang w:eastAsia="pt-BR"/>
        </w:rPr>
        <w:t xml:space="preserve">CLÁUSULA DÉCIMA TERCEIRA - DA RESCISÃO </w:t>
      </w:r>
    </w:p>
    <w:p>
      <w:pPr>
        <w:pStyle w:val="Normal"/>
        <w:spacing w:lineRule="auto" w:line="360" w:before="0" w:after="0"/>
        <w:ind w:left="0" w:right="0" w:hanging="0"/>
        <w:contextualSpacing/>
        <w:rPr>
          <w:rFonts w:ascii="Arial" w:hAnsi="Arial"/>
          <w:sz w:val="24"/>
          <w:szCs w:val="24"/>
        </w:rPr>
      </w:pPr>
      <w:r>
        <w:rPr>
          <w:sz w:val="24"/>
          <w:szCs w:val="24"/>
          <w:lang w:eastAsia="pt-BR"/>
        </w:rPr>
        <w:t xml:space="preserve">O presente instrumento poderá ser rescindido justificadamente, a qualquer tempo, por qualquer um dos partícipes, mediante comunicação formal, com aviso prévio de, no mínimo, </w:t>
      </w:r>
      <w:r>
        <w:rPr>
          <w:rFonts w:eastAsia="Times New Roman" w:cs="Arial"/>
          <w:color w:val="auto"/>
          <w:kern w:val="0"/>
          <w:sz w:val="24"/>
          <w:szCs w:val="24"/>
          <w:lang w:val="pt-BR" w:eastAsia="pt-BR" w:bidi="ar-SA"/>
        </w:rPr>
        <w:t>15</w:t>
      </w:r>
      <w:r>
        <w:rPr>
          <w:sz w:val="24"/>
          <w:szCs w:val="24"/>
          <w:lang w:eastAsia="pt-BR"/>
        </w:rPr>
        <w:t xml:space="preserve"> dias, nas seguintes situações:</w:t>
      </w:r>
    </w:p>
    <w:p>
      <w:pPr>
        <w:pStyle w:val="Normal"/>
        <w:spacing w:lineRule="auto" w:line="360" w:before="0" w:after="0"/>
        <w:ind w:left="0" w:right="0" w:hanging="0"/>
        <w:contextualSpacing/>
        <w:rPr>
          <w:rFonts w:ascii="Arial" w:hAnsi="Arial"/>
          <w:sz w:val="24"/>
          <w:szCs w:val="24"/>
        </w:rPr>
      </w:pPr>
      <w:r>
        <w:rPr>
          <w:sz w:val="24"/>
          <w:szCs w:val="24"/>
          <w:lang w:eastAsia="pt-BR"/>
        </w:rPr>
        <w:t xml:space="preserve">a) quando houver o descumprimento de obrigação por um dos partícipes que inviabilize o alcance do resultado do Acordo de Cooperação; </w:t>
      </w:r>
    </w:p>
    <w:p>
      <w:pPr>
        <w:pStyle w:val="Normal"/>
        <w:spacing w:lineRule="auto" w:line="360" w:before="0" w:after="0"/>
        <w:ind w:left="0" w:right="0" w:hanging="0"/>
        <w:contextualSpacing/>
        <w:rPr>
          <w:rFonts w:ascii="Arial" w:hAnsi="Arial"/>
          <w:sz w:val="24"/>
          <w:szCs w:val="24"/>
        </w:rPr>
      </w:pPr>
      <w:r>
        <w:rPr>
          <w:sz w:val="24"/>
          <w:szCs w:val="24"/>
          <w:lang w:eastAsia="pt-BR"/>
        </w:rPr>
        <w:t xml:space="preserve">b) na ocorrência de caso fortuito ou de força maior, regularmente comprovado, impeditivo da execução do objeto. </w:t>
      </w:r>
    </w:p>
    <w:p>
      <w:pPr>
        <w:pStyle w:val="Normal"/>
        <w:spacing w:lineRule="auto" w:line="360" w:before="0" w:after="0"/>
        <w:ind w:left="0" w:right="0" w:hanging="0"/>
        <w:contextualSpacing/>
        <w:jc w:val="center"/>
        <w:rPr>
          <w:rFonts w:ascii="Arial" w:hAnsi="Arial"/>
          <w:sz w:val="24"/>
          <w:szCs w:val="24"/>
          <w:lang w:eastAsia="pt-BR"/>
        </w:rPr>
      </w:pPr>
      <w:r>
        <w:rPr>
          <w:sz w:val="24"/>
          <w:szCs w:val="24"/>
          <w:lang w:eastAsia="pt-BR"/>
        </w:rPr>
      </w:r>
    </w:p>
    <w:p>
      <w:pPr>
        <w:pStyle w:val="Normal"/>
        <w:spacing w:lineRule="auto" w:line="360" w:before="0" w:after="0"/>
        <w:ind w:left="0" w:right="0" w:hanging="0"/>
        <w:contextualSpacing/>
        <w:jc w:val="both"/>
        <w:rPr>
          <w:rFonts w:ascii="Arial" w:hAnsi="Arial"/>
          <w:b/>
          <w:b/>
          <w:bCs/>
          <w:sz w:val="24"/>
          <w:szCs w:val="24"/>
          <w:lang w:eastAsia="pt-BR"/>
        </w:rPr>
      </w:pPr>
      <w:r>
        <w:rPr>
          <w:b/>
          <w:bCs/>
          <w:sz w:val="24"/>
          <w:szCs w:val="24"/>
          <w:lang w:eastAsia="pt-BR"/>
        </w:rPr>
        <w:t>CLÁUSULA DÉCIMA QUARTA – DA PUBLICAÇÃO</w:t>
      </w:r>
    </w:p>
    <w:p>
      <w:pPr>
        <w:pStyle w:val="Normal"/>
        <w:spacing w:lineRule="auto" w:line="360" w:before="0" w:after="0"/>
        <w:ind w:left="0" w:right="0" w:hanging="0"/>
        <w:contextualSpacing/>
        <w:jc w:val="both"/>
        <w:rPr>
          <w:rFonts w:ascii="Arial" w:hAnsi="Arial"/>
          <w:sz w:val="24"/>
          <w:szCs w:val="24"/>
        </w:rPr>
      </w:pPr>
      <w:r>
        <w:rPr>
          <w:rFonts w:ascii="Arial" w:hAnsi="Arial"/>
          <w:sz w:val="24"/>
          <w:szCs w:val="24"/>
          <w:lang w:eastAsia="pt-BR"/>
        </w:rPr>
        <w:t>Os Partícipes deverão</w:t>
      </w:r>
      <w:r>
        <w:rPr>
          <w:rFonts w:ascii="Arial" w:hAnsi="Arial"/>
          <w:sz w:val="24"/>
          <w:szCs w:val="24"/>
          <w:lang w:eastAsia="pt-BR"/>
        </w:rPr>
        <w:t xml:space="preserve"> </w:t>
      </w:r>
      <w:r>
        <w:rPr>
          <w:rFonts w:ascii="Arial" w:hAnsi="Arial"/>
          <w:sz w:val="24"/>
          <w:szCs w:val="24"/>
          <w:lang w:eastAsia="pt-BR"/>
        </w:rPr>
        <w:t>publicar o Acordo de Cooperação Técnica na página do sítio oficial da Administração Pública na internet.</w:t>
      </w:r>
    </w:p>
    <w:p>
      <w:pPr>
        <w:pStyle w:val="Normal"/>
        <w:spacing w:lineRule="auto" w:line="360" w:before="0" w:after="0"/>
        <w:ind w:left="0" w:right="0" w:hanging="0"/>
        <w:contextualSpacing/>
        <w:jc w:val="both"/>
        <w:rPr>
          <w:rFonts w:ascii="Arial" w:hAnsi="Arial"/>
          <w:sz w:val="20"/>
          <w:szCs w:val="20"/>
        </w:rPr>
      </w:pPr>
      <w:r>
        <w:rPr>
          <w:rFonts w:ascii="Arial" w:hAnsi="Arial"/>
          <w:sz w:val="20"/>
          <w:szCs w:val="20"/>
        </w:rPr>
      </w:r>
    </w:p>
    <w:p>
      <w:pPr>
        <w:pStyle w:val="Normal"/>
        <w:pBdr>
          <w:top w:val="single" w:sz="4" w:space="1" w:color="000000"/>
          <w:left w:val="single" w:sz="4" w:space="4" w:color="000000"/>
          <w:bottom w:val="single" w:sz="4" w:space="1" w:color="000000"/>
          <w:right w:val="single" w:sz="4" w:space="4" w:color="000000"/>
        </w:pBdr>
        <w:ind w:hanging="0"/>
        <w:jc w:val="both"/>
        <w:rPr>
          <w:rFonts w:ascii="Arial" w:hAnsi="Arial"/>
          <w:sz w:val="20"/>
          <w:szCs w:val="20"/>
        </w:rPr>
      </w:pPr>
      <w:r>
        <w:rPr>
          <w:rFonts w:ascii="Arial" w:hAnsi="Arial"/>
          <w:b/>
          <w:bCs/>
          <w:sz w:val="20"/>
          <w:szCs w:val="20"/>
        </w:rPr>
        <w:t>Nota Explicativa</w:t>
      </w:r>
      <w:r>
        <w:rPr>
          <w:rFonts w:ascii="Arial" w:hAnsi="Arial"/>
          <w:sz w:val="20"/>
          <w:szCs w:val="20"/>
        </w:rPr>
        <w:t xml:space="preserve">: Nos termos do art. 37, </w:t>
      </w:r>
      <w:r>
        <w:rPr>
          <w:rFonts w:ascii="Arial" w:hAnsi="Arial"/>
          <w:i/>
          <w:iCs/>
          <w:sz w:val="20"/>
          <w:szCs w:val="20"/>
        </w:rPr>
        <w:t>caput</w:t>
      </w:r>
      <w:r>
        <w:rPr>
          <w:rFonts w:ascii="Arial" w:hAnsi="Arial"/>
          <w:sz w:val="20"/>
          <w:szCs w:val="20"/>
        </w:rPr>
        <w:t xml:space="preserve">, da Constituição Federal, a Administração Pública deverá obedecer ao Princípio da Publicidade. </w:t>
      </w:r>
    </w:p>
    <w:p>
      <w:pPr>
        <w:pStyle w:val="Normal"/>
        <w:pBdr>
          <w:top w:val="single" w:sz="4" w:space="1" w:color="000000"/>
          <w:left w:val="single" w:sz="4" w:space="4" w:color="000000"/>
          <w:bottom w:val="single" w:sz="4" w:space="1" w:color="000000"/>
          <w:right w:val="single" w:sz="4" w:space="4" w:color="000000"/>
        </w:pBdr>
        <w:ind w:hanging="0"/>
        <w:jc w:val="both"/>
        <w:rPr>
          <w:rFonts w:ascii="Arial" w:hAnsi="Arial"/>
          <w:sz w:val="20"/>
          <w:szCs w:val="20"/>
        </w:rPr>
      </w:pPr>
      <w:r>
        <w:rPr>
          <w:rFonts w:ascii="Arial" w:hAnsi="Arial"/>
          <w:sz w:val="20"/>
          <w:szCs w:val="20"/>
        </w:rPr>
        <w:t xml:space="preserve">O mencionado princípio é cumprido não apenas com a publicação de seu extrato no Diário Oficial, quando a norma jurídica assim impõe à Administração Pública. </w:t>
      </w:r>
    </w:p>
    <w:p>
      <w:pPr>
        <w:pStyle w:val="Normal"/>
        <w:pBdr>
          <w:top w:val="single" w:sz="4" w:space="1" w:color="000000"/>
          <w:left w:val="single" w:sz="4" w:space="4" w:color="000000"/>
          <w:bottom w:val="single" w:sz="4" w:space="1" w:color="000000"/>
          <w:right w:val="single" w:sz="4" w:space="4" w:color="000000"/>
        </w:pBdr>
        <w:ind w:hanging="0"/>
        <w:jc w:val="both"/>
        <w:rPr>
          <w:rFonts w:ascii="Arial" w:hAnsi="Arial"/>
          <w:sz w:val="20"/>
          <w:szCs w:val="20"/>
        </w:rPr>
      </w:pPr>
      <w:r>
        <w:rPr>
          <w:rFonts w:ascii="Arial" w:hAnsi="Arial"/>
          <w:sz w:val="20"/>
          <w:szCs w:val="20"/>
        </w:rPr>
        <w:t xml:space="preserve">O princípio da publicidade, que não se confunde com a publicação no D.O.U., também estará sendo obedecido quando sua publicação ocorra de outra forma, não restritiva, de amplo acesso à população, como é o caso do sítio oficial da Administração Pública na internet. </w:t>
      </w:r>
    </w:p>
    <w:p>
      <w:pPr>
        <w:pStyle w:val="Normal"/>
        <w:pBdr>
          <w:top w:val="single" w:sz="4" w:space="1" w:color="000000"/>
          <w:left w:val="single" w:sz="4" w:space="4" w:color="000000"/>
          <w:bottom w:val="single" w:sz="4" w:space="1" w:color="000000"/>
          <w:right w:val="single" w:sz="4" w:space="4" w:color="000000"/>
        </w:pBdr>
        <w:ind w:hanging="0"/>
        <w:jc w:val="both"/>
        <w:rPr>
          <w:rFonts w:ascii="Arial" w:hAnsi="Arial"/>
          <w:sz w:val="20"/>
          <w:szCs w:val="20"/>
        </w:rPr>
      </w:pPr>
      <w:r>
        <w:rPr>
          <w:rFonts w:ascii="Arial" w:hAnsi="Arial"/>
          <w:sz w:val="20"/>
          <w:szCs w:val="20"/>
        </w:rPr>
        <w:t>Desta forma, a obediência ao mencionado princípio ocorre com a publicação do instrumento assinado pelas partes no sítio oficial da Administração Pública na internet, em analogia ao disposto nos arts. 94 e 174 c/c art. 184 da Lei nº 14.133/2021 que assim expressam:</w:t>
      </w:r>
    </w:p>
    <w:p>
      <w:pPr>
        <w:pStyle w:val="Normal"/>
        <w:pBdr>
          <w:top w:val="single" w:sz="4" w:space="1" w:color="000000"/>
          <w:left w:val="single" w:sz="4" w:space="4" w:color="000000"/>
          <w:bottom w:val="single" w:sz="4" w:space="1" w:color="000000"/>
          <w:right w:val="single" w:sz="4" w:space="4" w:color="000000"/>
        </w:pBdr>
        <w:spacing w:lineRule="auto" w:line="360" w:before="0" w:after="0"/>
        <w:ind w:left="0" w:right="0" w:hanging="0"/>
        <w:contextualSpacing/>
        <w:jc w:val="both"/>
        <w:rPr/>
      </w:pPr>
      <w:r>
        <w:rPr>
          <w:rFonts w:ascii="Arial" w:hAnsi="Arial"/>
          <w:i/>
          <w:iCs/>
          <w:sz w:val="20"/>
          <w:szCs w:val="20"/>
          <w:lang w:eastAsia="pt-BR"/>
        </w:rPr>
        <w:t>Art. 94. A divulgação no Portal Nacional de Contratações Públicas (PNCP) é condição indispensável para a eficácia do contrato e de seus aditamentos e deverá ocorrer nos seguintes prazos, contados da data de sua assinatura:</w:t>
      </w:r>
    </w:p>
    <w:p>
      <w:pPr>
        <w:pStyle w:val="Normal"/>
        <w:pBdr>
          <w:top w:val="single" w:sz="4" w:space="1" w:color="000000"/>
          <w:left w:val="single" w:sz="4" w:space="4" w:color="000000"/>
          <w:bottom w:val="single" w:sz="4" w:space="1" w:color="000000"/>
          <w:right w:val="single" w:sz="4" w:space="4" w:color="000000"/>
        </w:pBdr>
        <w:spacing w:lineRule="auto" w:line="360" w:before="0" w:after="0"/>
        <w:ind w:left="0" w:right="0" w:hanging="0"/>
        <w:contextualSpacing/>
        <w:jc w:val="both"/>
        <w:rPr>
          <w:rFonts w:ascii="Arial" w:hAnsi="Arial"/>
          <w:sz w:val="20"/>
          <w:szCs w:val="20"/>
        </w:rPr>
      </w:pPr>
      <w:r>
        <w:rPr>
          <w:rFonts w:ascii="Arial" w:hAnsi="Arial"/>
          <w:i/>
          <w:iCs/>
          <w:sz w:val="20"/>
          <w:szCs w:val="20"/>
        </w:rPr>
        <w:t>(...)</w:t>
      </w:r>
    </w:p>
    <w:p>
      <w:pPr>
        <w:pStyle w:val="Normal"/>
        <w:pBdr>
          <w:top w:val="single" w:sz="4" w:space="1" w:color="000000"/>
          <w:left w:val="single" w:sz="4" w:space="4" w:color="000000"/>
          <w:bottom w:val="single" w:sz="4" w:space="1" w:color="000000"/>
          <w:right w:val="single" w:sz="4" w:space="4" w:color="000000"/>
        </w:pBdr>
        <w:ind w:hanging="0"/>
        <w:jc w:val="both"/>
        <w:rPr>
          <w:rFonts w:ascii="Arial" w:hAnsi="Arial"/>
          <w:sz w:val="20"/>
          <w:szCs w:val="20"/>
        </w:rPr>
      </w:pPr>
      <w:r>
        <w:rPr>
          <w:rFonts w:ascii="Arial" w:hAnsi="Arial"/>
          <w:i/>
          <w:iCs/>
          <w:sz w:val="20"/>
          <w:szCs w:val="20"/>
        </w:rPr>
        <w:t xml:space="preserve">Art. 174. É criado o Portal Nacional de Contratações Públicas (PNCP), </w:t>
      </w:r>
      <w:r>
        <w:rPr>
          <w:rFonts w:ascii="Arial" w:hAnsi="Arial"/>
          <w:b/>
          <w:bCs/>
          <w:i/>
          <w:iCs/>
          <w:sz w:val="20"/>
          <w:szCs w:val="20"/>
        </w:rPr>
        <w:t>sítio eletrônico</w:t>
      </w:r>
      <w:r>
        <w:rPr>
          <w:rFonts w:ascii="Arial" w:hAnsi="Arial"/>
          <w:i/>
          <w:iCs/>
          <w:sz w:val="20"/>
          <w:szCs w:val="20"/>
        </w:rPr>
        <w:t xml:space="preserve"> oficial destinado à: </w:t>
      </w:r>
    </w:p>
    <w:p>
      <w:pPr>
        <w:pStyle w:val="Normal"/>
        <w:pBdr>
          <w:top w:val="single" w:sz="4" w:space="1" w:color="000000"/>
          <w:left w:val="single" w:sz="4" w:space="4" w:color="000000"/>
          <w:bottom w:val="single" w:sz="4" w:space="1" w:color="000000"/>
          <w:right w:val="single" w:sz="4" w:space="4" w:color="000000"/>
        </w:pBdr>
        <w:ind w:hanging="0"/>
        <w:jc w:val="both"/>
        <w:rPr>
          <w:rFonts w:ascii="Arial" w:hAnsi="Arial"/>
          <w:sz w:val="20"/>
          <w:szCs w:val="20"/>
        </w:rPr>
      </w:pPr>
      <w:r>
        <w:rPr>
          <w:rFonts w:ascii="Arial" w:hAnsi="Arial"/>
          <w:i/>
          <w:iCs/>
          <w:sz w:val="20"/>
          <w:szCs w:val="20"/>
        </w:rPr>
        <w:t>(...)</w:t>
      </w:r>
    </w:p>
    <w:p>
      <w:pPr>
        <w:pStyle w:val="Normal"/>
        <w:pBdr>
          <w:top w:val="single" w:sz="4" w:space="1" w:color="000000"/>
          <w:left w:val="single" w:sz="4" w:space="4" w:color="000000"/>
          <w:bottom w:val="single" w:sz="4" w:space="1" w:color="000000"/>
          <w:right w:val="single" w:sz="4" w:space="4" w:color="000000"/>
        </w:pBdr>
        <w:ind w:hanging="0"/>
        <w:jc w:val="both"/>
        <w:rPr>
          <w:rFonts w:ascii="Arial" w:hAnsi="Arial"/>
          <w:sz w:val="20"/>
          <w:szCs w:val="20"/>
        </w:rPr>
      </w:pPr>
      <w:r>
        <w:rPr>
          <w:rFonts w:ascii="Arial" w:hAnsi="Arial"/>
          <w:i/>
          <w:iCs/>
          <w:sz w:val="20"/>
          <w:szCs w:val="20"/>
        </w:rPr>
        <w:t>(...)</w:t>
      </w:r>
    </w:p>
    <w:p>
      <w:pPr>
        <w:pStyle w:val="Normal"/>
        <w:pBdr>
          <w:top w:val="single" w:sz="4" w:space="1" w:color="000000"/>
          <w:left w:val="single" w:sz="4" w:space="4" w:color="000000"/>
          <w:bottom w:val="single" w:sz="4" w:space="1" w:color="000000"/>
          <w:right w:val="single" w:sz="4" w:space="4" w:color="000000"/>
        </w:pBdr>
        <w:spacing w:lineRule="auto" w:line="360" w:before="0" w:after="0"/>
        <w:ind w:left="0" w:right="0" w:hanging="0"/>
        <w:contextualSpacing/>
        <w:jc w:val="both"/>
        <w:rPr>
          <w:rFonts w:ascii="Arial" w:hAnsi="Arial"/>
          <w:sz w:val="20"/>
          <w:szCs w:val="20"/>
          <w:lang w:eastAsia="pt-BR"/>
        </w:rPr>
      </w:pPr>
      <w:r>
        <w:rPr>
          <w:rFonts w:ascii="Arial" w:hAnsi="Arial"/>
          <w:i/>
          <w:iCs/>
          <w:sz w:val="20"/>
          <w:szCs w:val="20"/>
          <w:lang w:eastAsia="pt-BR"/>
        </w:rPr>
        <w:t>Art. 184. Aplicam-se as disposições desta Lei, no que couber e na ausência de norma específica, aos convênios, acordos, ajustes e outros instrumentos congêneres celebrados por órgãos e entidades da Administração Pública, na forma estabelecida em regulamento do Poder Executivo federal.</w:t>
      </w:r>
    </w:p>
    <w:p>
      <w:pPr>
        <w:pStyle w:val="Normal"/>
        <w:spacing w:lineRule="auto" w:line="360" w:before="0" w:after="0"/>
        <w:ind w:left="0" w:right="0" w:hanging="0"/>
        <w:contextualSpacing/>
        <w:jc w:val="both"/>
        <w:rPr>
          <w:rFonts w:ascii="Arial" w:hAnsi="Arial"/>
          <w:sz w:val="20"/>
          <w:szCs w:val="20"/>
          <w:lang w:eastAsia="pt-BR"/>
        </w:rPr>
      </w:pPr>
      <w:r>
        <w:rPr>
          <w:rFonts w:ascii="Arial" w:hAnsi="Arial"/>
          <w:sz w:val="20"/>
          <w:szCs w:val="20"/>
          <w:lang w:eastAsia="pt-BR"/>
        </w:rPr>
      </w:r>
    </w:p>
    <w:p>
      <w:pPr>
        <w:pStyle w:val="Normal"/>
        <w:spacing w:lineRule="auto" w:line="360" w:before="0" w:after="0"/>
        <w:ind w:left="0" w:right="0" w:hanging="0"/>
        <w:contextualSpacing/>
        <w:jc w:val="both"/>
        <w:rPr>
          <w:rFonts w:ascii="Arial" w:hAnsi="Arial"/>
          <w:b/>
          <w:b/>
          <w:bCs/>
          <w:sz w:val="24"/>
          <w:szCs w:val="24"/>
        </w:rPr>
      </w:pPr>
      <w:r>
        <w:rPr>
          <w:rFonts w:ascii="Arial" w:hAnsi="Arial"/>
          <w:b/>
          <w:bCs/>
          <w:sz w:val="24"/>
          <w:szCs w:val="24"/>
          <w:lang w:eastAsia="pt-BR"/>
        </w:rPr>
        <w:t xml:space="preserve">CLÁUSULA DÉCIMA QUINTA – </w:t>
      </w:r>
      <w:r>
        <w:rPr>
          <w:rFonts w:ascii="Arial" w:hAnsi="Arial"/>
          <w:b/>
          <w:bCs/>
          <w:sz w:val="24"/>
          <w:szCs w:val="24"/>
          <w:lang w:eastAsia="pt-BR"/>
        </w:rPr>
        <w:t>DA PUBLICIDADE E DIVULGAÇÃO</w:t>
      </w:r>
    </w:p>
    <w:p>
      <w:pPr>
        <w:pStyle w:val="Normal"/>
        <w:spacing w:lineRule="auto" w:line="360" w:before="0" w:after="0"/>
        <w:ind w:left="0" w:right="0" w:hanging="0"/>
        <w:contextualSpacing/>
        <w:jc w:val="both"/>
        <w:rPr>
          <w:rFonts w:ascii="Arial" w:hAnsi="Arial"/>
          <w:b w:val="false"/>
          <w:b w:val="false"/>
          <w:bCs w:val="false"/>
          <w:sz w:val="24"/>
          <w:szCs w:val="24"/>
        </w:rPr>
      </w:pPr>
      <w:r>
        <w:rPr>
          <w:rFonts w:ascii="Arial" w:hAnsi="Arial"/>
          <w:b w:val="false"/>
          <w:bCs w:val="false"/>
          <w:sz w:val="24"/>
          <w:szCs w:val="24"/>
          <w:lang w:eastAsia="pt-BR"/>
        </w:rPr>
        <w:t>A publicidade decorrente dos atos, programas, obras, serviços e campanhas, procedentes deste Acordo de Cooperação Técnica deverá possuir caráter educativo, informativo, ou de orientação social, dela não podendo constar nomes, símbolos ou imagens que caracterizem promoção pessoal de autoridades ou servidores públicos, nos termos do art. 37, §1º, da Constituição Federal.</w:t>
      </w:r>
    </w:p>
    <w:p>
      <w:pPr>
        <w:pStyle w:val="Normal"/>
        <w:spacing w:lineRule="auto" w:line="360" w:before="0" w:after="0"/>
        <w:ind w:left="0" w:right="0" w:hanging="0"/>
        <w:contextualSpacing/>
        <w:jc w:val="both"/>
        <w:rPr>
          <w:b/>
          <w:b/>
          <w:bCs/>
          <w:sz w:val="24"/>
          <w:szCs w:val="24"/>
          <w:lang w:eastAsia="pt-BR"/>
        </w:rPr>
      </w:pPr>
      <w:r>
        <w:rPr/>
      </w:r>
    </w:p>
    <w:p>
      <w:pPr>
        <w:pStyle w:val="Normal"/>
        <w:spacing w:lineRule="auto" w:line="360" w:before="0" w:after="0"/>
        <w:ind w:left="0" w:right="0" w:hanging="0"/>
        <w:contextualSpacing/>
        <w:jc w:val="both"/>
        <w:rPr/>
      </w:pPr>
      <w:r>
        <w:rPr>
          <w:rFonts w:ascii="Arial" w:hAnsi="Arial"/>
          <w:b/>
          <w:bCs/>
          <w:sz w:val="24"/>
          <w:szCs w:val="24"/>
          <w:lang w:eastAsia="pt-BR"/>
        </w:rPr>
        <w:t xml:space="preserve">CLÁUSULA DÉCIMA </w:t>
      </w:r>
      <w:r>
        <w:rPr>
          <w:rFonts w:eastAsia="Times New Roman" w:cs="Arial" w:ascii="Arial" w:hAnsi="Arial"/>
          <w:b/>
          <w:bCs/>
          <w:color w:val="auto"/>
          <w:kern w:val="0"/>
          <w:sz w:val="24"/>
          <w:szCs w:val="24"/>
          <w:lang w:val="pt-BR" w:eastAsia="pt-BR" w:bidi="ar-SA"/>
        </w:rPr>
        <w:t>SEXTA</w:t>
      </w:r>
      <w:r>
        <w:rPr>
          <w:rFonts w:ascii="Arial" w:hAnsi="Arial"/>
          <w:b/>
          <w:bCs/>
          <w:sz w:val="24"/>
          <w:szCs w:val="24"/>
          <w:lang w:eastAsia="pt-BR"/>
        </w:rPr>
        <w:t xml:space="preserve"> – </w:t>
      </w:r>
      <w:r>
        <w:rPr>
          <w:b/>
          <w:bCs/>
          <w:sz w:val="24"/>
          <w:szCs w:val="24"/>
          <w:lang w:eastAsia="pt-BR"/>
        </w:rPr>
        <w:t>DA AFERIÇÃO DE RESULTADOS</w:t>
      </w:r>
    </w:p>
    <w:p>
      <w:pPr>
        <w:pStyle w:val="Normal"/>
        <w:spacing w:lineRule="auto" w:line="360" w:before="0" w:after="0"/>
        <w:ind w:left="0" w:right="0" w:hanging="0"/>
        <w:contextualSpacing/>
        <w:jc w:val="both"/>
        <w:rPr>
          <w:rFonts w:ascii="Arial" w:hAnsi="Arial"/>
          <w:sz w:val="24"/>
          <w:szCs w:val="24"/>
        </w:rPr>
      </w:pPr>
      <w:r>
        <w:rPr>
          <w:sz w:val="24"/>
          <w:szCs w:val="24"/>
          <w:lang w:eastAsia="pt-BR"/>
        </w:rPr>
        <w:t xml:space="preserve">Os partícipes deverão aferir os benefícios e alcance do interesse público obtidos em decorrência do ajuste, mediante a elaboração de relatório conjunto de execução de atividades relativas à parceria, discriminando as ações empreendidas e os objetivos alcançados, no prazo de até </w:t>
      </w:r>
      <w:r>
        <w:rPr>
          <w:rFonts w:eastAsia="Times New Roman" w:cs="Arial"/>
          <w:color w:val="auto"/>
          <w:kern w:val="0"/>
          <w:sz w:val="24"/>
          <w:szCs w:val="24"/>
          <w:lang w:val="pt-BR" w:eastAsia="pt-BR" w:bidi="ar-SA"/>
        </w:rPr>
        <w:t>30</w:t>
      </w:r>
      <w:r>
        <w:rPr>
          <w:sz w:val="24"/>
          <w:szCs w:val="24"/>
          <w:lang w:eastAsia="pt-BR"/>
        </w:rPr>
        <w:t xml:space="preserve"> dias após o encerramento. </w:t>
      </w:r>
    </w:p>
    <w:p>
      <w:pPr>
        <w:pStyle w:val="Normal"/>
        <w:spacing w:lineRule="auto" w:line="360" w:before="0" w:after="0"/>
        <w:ind w:left="0" w:right="0" w:hanging="0"/>
        <w:contextualSpacing/>
        <w:jc w:val="both"/>
        <w:rPr>
          <w:lang w:eastAsia="pt-BR"/>
        </w:rPr>
      </w:pPr>
      <w:r>
        <w:rPr>
          <w:lang w:eastAsia="pt-BR"/>
        </w:rPr>
      </w:r>
    </w:p>
    <w:p>
      <w:pPr>
        <w:pStyle w:val="Normal"/>
        <w:pBdr>
          <w:top w:val="single" w:sz="4" w:space="1" w:color="000000"/>
          <w:left w:val="single" w:sz="4" w:space="4" w:color="000000"/>
          <w:bottom w:val="single" w:sz="4" w:space="1" w:color="000000"/>
          <w:right w:val="single" w:sz="4" w:space="4" w:color="000000"/>
        </w:pBdr>
        <w:spacing w:lineRule="auto" w:line="360" w:before="0" w:after="0"/>
        <w:ind w:left="0" w:right="0" w:hanging="0"/>
        <w:contextualSpacing/>
        <w:jc w:val="both"/>
        <w:rPr>
          <w:rFonts w:ascii="Arial" w:hAnsi="Arial"/>
          <w:sz w:val="20"/>
          <w:szCs w:val="20"/>
          <w:lang w:eastAsia="pt-BR"/>
        </w:rPr>
      </w:pPr>
      <w:r>
        <w:rPr>
          <w:rFonts w:ascii="Arial" w:hAnsi="Arial"/>
          <w:b/>
          <w:bCs/>
          <w:sz w:val="20"/>
          <w:szCs w:val="20"/>
          <w:lang w:eastAsia="pt-BR"/>
        </w:rPr>
        <w:t>Nota explicativa</w:t>
      </w:r>
      <w:r>
        <w:rPr>
          <w:rFonts w:ascii="Arial" w:hAnsi="Arial"/>
          <w:sz w:val="20"/>
          <w:szCs w:val="20"/>
          <w:lang w:eastAsia="pt-BR"/>
        </w:rPr>
        <w:t>: A Administração pode avaliar a conveniência, de acordo com o objeto e o seu prazo de vigência, em pactuar a apresentação de relatórios parciais após conclusão de determinadas etapas.</w:t>
      </w:r>
    </w:p>
    <w:p>
      <w:pPr>
        <w:pStyle w:val="Normal"/>
        <w:spacing w:lineRule="auto" w:line="360" w:before="0" w:after="0"/>
        <w:ind w:left="0" w:right="0" w:hanging="0"/>
        <w:contextualSpacing/>
        <w:jc w:val="both"/>
        <w:rPr>
          <w:b/>
          <w:b/>
          <w:bCs/>
          <w:lang w:eastAsia="pt-BR"/>
        </w:rPr>
      </w:pPr>
      <w:r>
        <w:rPr>
          <w:rFonts w:ascii="Arial" w:hAnsi="Arial"/>
          <w:sz w:val="20"/>
          <w:szCs w:val="20"/>
        </w:rPr>
      </w:r>
    </w:p>
    <w:p>
      <w:pPr>
        <w:pStyle w:val="Normal"/>
        <w:spacing w:lineRule="auto" w:line="360" w:before="0" w:after="0"/>
        <w:ind w:left="0" w:right="0" w:hanging="0"/>
        <w:contextualSpacing/>
        <w:jc w:val="both"/>
        <w:rPr/>
      </w:pPr>
      <w:r>
        <w:rPr>
          <w:b/>
          <w:bCs/>
          <w:sz w:val="24"/>
          <w:szCs w:val="24"/>
          <w:lang w:eastAsia="pt-BR"/>
        </w:rPr>
        <w:t xml:space="preserve">CLÁUSULA DÉCIMA </w:t>
      </w:r>
      <w:r>
        <w:rPr>
          <w:rFonts w:eastAsia="Times New Roman" w:cs="Arial"/>
          <w:b/>
          <w:bCs/>
          <w:color w:val="auto"/>
          <w:kern w:val="0"/>
          <w:sz w:val="24"/>
          <w:szCs w:val="24"/>
          <w:lang w:val="pt-BR" w:eastAsia="pt-BR" w:bidi="ar-SA"/>
        </w:rPr>
        <w:t>SÉTIMA</w:t>
      </w:r>
      <w:r>
        <w:rPr>
          <w:b/>
          <w:bCs/>
          <w:sz w:val="24"/>
          <w:szCs w:val="24"/>
          <w:lang w:eastAsia="pt-BR"/>
        </w:rPr>
        <w:t xml:space="preserve"> - DOS CASOS OMISSOS</w:t>
      </w:r>
    </w:p>
    <w:p>
      <w:pPr>
        <w:pStyle w:val="Normal"/>
        <w:spacing w:lineRule="auto" w:line="360" w:before="0" w:after="0"/>
        <w:ind w:left="0" w:right="0" w:hanging="0"/>
        <w:contextualSpacing/>
        <w:jc w:val="both"/>
        <w:rPr>
          <w:rFonts w:ascii="Arial" w:hAnsi="Arial"/>
          <w:sz w:val="24"/>
          <w:szCs w:val="24"/>
          <w:lang w:eastAsia="pt-BR"/>
        </w:rPr>
      </w:pPr>
      <w:r>
        <w:rPr>
          <w:sz w:val="24"/>
          <w:szCs w:val="24"/>
          <w:lang w:eastAsia="pt-BR"/>
        </w:rPr>
        <w:t xml:space="preserve">As situações não previstas no presente instrumento serão solucionadas de comum acordo entre os partícipes, cujo direcionamento deve visar à execução integral do objeto. </w:t>
      </w:r>
    </w:p>
    <w:p>
      <w:pPr>
        <w:pStyle w:val="Normal"/>
        <w:spacing w:lineRule="auto" w:line="360" w:before="0" w:after="0"/>
        <w:ind w:left="0" w:right="0" w:hanging="0"/>
        <w:contextualSpacing/>
        <w:jc w:val="both"/>
        <w:rPr>
          <w:rFonts w:ascii="Arial" w:hAnsi="Arial"/>
          <w:sz w:val="24"/>
          <w:szCs w:val="24"/>
          <w:lang w:eastAsia="pt-BR"/>
        </w:rPr>
      </w:pPr>
      <w:r>
        <w:rPr>
          <w:sz w:val="24"/>
          <w:szCs w:val="24"/>
          <w:lang w:eastAsia="pt-BR"/>
        </w:rPr>
      </w:r>
    </w:p>
    <w:p>
      <w:pPr>
        <w:pStyle w:val="Normal"/>
        <w:spacing w:lineRule="auto" w:line="360" w:before="0" w:after="0"/>
        <w:ind w:left="0" w:right="0" w:hanging="0"/>
        <w:contextualSpacing/>
        <w:jc w:val="both"/>
        <w:rPr/>
      </w:pPr>
      <w:r>
        <w:rPr>
          <w:b/>
          <w:bCs/>
          <w:sz w:val="24"/>
          <w:szCs w:val="24"/>
          <w:lang w:eastAsia="pt-BR"/>
        </w:rPr>
        <w:t xml:space="preserve">CLÁUSULA DÉCIMA </w:t>
      </w:r>
      <w:r>
        <w:rPr>
          <w:rFonts w:eastAsia="Times New Roman" w:cs="Arial"/>
          <w:b/>
          <w:bCs/>
          <w:color w:val="auto"/>
          <w:kern w:val="0"/>
          <w:sz w:val="24"/>
          <w:szCs w:val="24"/>
          <w:lang w:val="pt-BR" w:eastAsia="pt-BR" w:bidi="ar-SA"/>
        </w:rPr>
        <w:t>OITAVA</w:t>
      </w:r>
      <w:r>
        <w:rPr>
          <w:b/>
          <w:bCs/>
          <w:sz w:val="24"/>
          <w:szCs w:val="24"/>
          <w:lang w:eastAsia="pt-BR"/>
        </w:rPr>
        <w:t xml:space="preserve"> -DA CONCILIAÇÃO E DO FORO</w:t>
      </w:r>
    </w:p>
    <w:p>
      <w:pPr>
        <w:pStyle w:val="Normal"/>
        <w:ind w:hanging="0"/>
        <w:jc w:val="both"/>
        <w:rPr>
          <w:rFonts w:ascii="Arial" w:hAnsi="Arial"/>
          <w:sz w:val="24"/>
          <w:szCs w:val="24"/>
        </w:rPr>
      </w:pPr>
      <w:r>
        <w:rPr>
          <w:rFonts w:ascii="Arial" w:hAnsi="Arial"/>
          <w:sz w:val="24"/>
          <w:szCs w:val="24"/>
        </w:rPr>
        <w:t>Na hipótese de haver divergências, que não puderem ser solucionadas diretamente por mútuo acordo, os partícipes solicitarão à Câmara de Mediação e de Conciliação da Administração Pública Federal, órgão da Advocacia-Geral da União, a avaliação da admissibilidade dos pedidos de resolução de conflitos, por meio de conciliação.</w:t>
      </w:r>
    </w:p>
    <w:p>
      <w:pPr>
        <w:pStyle w:val="Normal"/>
        <w:ind w:hanging="0"/>
        <w:jc w:val="both"/>
        <w:rPr>
          <w:rFonts w:ascii="Arial" w:hAnsi="Arial"/>
          <w:sz w:val="24"/>
          <w:szCs w:val="24"/>
        </w:rPr>
      </w:pPr>
      <w:r>
        <w:rPr>
          <w:rFonts w:ascii="Arial" w:hAnsi="Arial"/>
          <w:sz w:val="24"/>
          <w:szCs w:val="24"/>
        </w:rPr>
      </w:r>
    </w:p>
    <w:p>
      <w:pPr>
        <w:pStyle w:val="Normal"/>
        <w:ind w:hanging="0"/>
        <w:jc w:val="both"/>
        <w:rPr>
          <w:color w:val="000000"/>
        </w:rPr>
      </w:pPr>
      <w:r>
        <w:rPr>
          <w:rFonts w:ascii="Arial" w:hAnsi="Arial"/>
          <w:b/>
          <w:bCs/>
          <w:color w:val="000000"/>
          <w:sz w:val="24"/>
          <w:szCs w:val="24"/>
        </w:rPr>
        <w:t>Subcláusula única</w:t>
      </w:r>
      <w:r>
        <w:rPr>
          <w:rFonts w:ascii="Arial" w:hAnsi="Arial"/>
          <w:color w:val="000000"/>
          <w:sz w:val="24"/>
          <w:szCs w:val="24"/>
        </w:rPr>
        <w:t xml:space="preserve">. Não logrando êxito a tentativa de conciliação e solução administrativa, será competente para dirimir as questões decorrentes deste Acordo de Cooperação Técnica o foro da Justiça Federal da Seção Judiciária do </w:t>
      </w:r>
      <w:r>
        <w:rPr>
          <w:rFonts w:eastAsia="Times New Roman" w:cs="Arial" w:ascii="Arial" w:hAnsi="Arial"/>
          <w:color w:val="000000"/>
          <w:kern w:val="0"/>
          <w:sz w:val="24"/>
          <w:szCs w:val="24"/>
          <w:lang w:val="pt-BR" w:eastAsia="ar-SA" w:bidi="ar-SA"/>
        </w:rPr>
        <w:t>Estado de Goiás</w:t>
      </w:r>
      <w:r>
        <w:rPr>
          <w:rFonts w:ascii="Arial" w:hAnsi="Arial"/>
          <w:color w:val="000000"/>
          <w:sz w:val="24"/>
          <w:szCs w:val="24"/>
        </w:rPr>
        <w:t xml:space="preserve">, nos termos do inciso I do art. 109 da Constituição Federal.  </w:t>
      </w:r>
    </w:p>
    <w:p>
      <w:pPr>
        <w:pStyle w:val="Normal"/>
        <w:ind w:hanging="0"/>
        <w:jc w:val="both"/>
        <w:rPr>
          <w:rFonts w:ascii="Arial" w:hAnsi="Arial"/>
          <w:sz w:val="24"/>
          <w:szCs w:val="24"/>
        </w:rPr>
      </w:pPr>
      <w:r>
        <w:rPr>
          <w:color w:val="000000"/>
        </w:rPr>
      </w:r>
    </w:p>
    <w:p>
      <w:pPr>
        <w:pStyle w:val="Normal"/>
        <w:pBdr>
          <w:top w:val="single" w:sz="4" w:space="1" w:color="000000"/>
          <w:left w:val="single" w:sz="4" w:space="4" w:color="000000"/>
          <w:bottom w:val="single" w:sz="4" w:space="1" w:color="000000"/>
          <w:right w:val="single" w:sz="4" w:space="4" w:color="000000"/>
        </w:pBdr>
        <w:ind w:hanging="0"/>
        <w:jc w:val="both"/>
        <w:rPr>
          <w:rFonts w:ascii="Arial" w:hAnsi="Arial"/>
          <w:sz w:val="20"/>
          <w:szCs w:val="20"/>
        </w:rPr>
      </w:pPr>
      <w:r>
        <w:rPr>
          <w:rFonts w:ascii="Arial" w:hAnsi="Arial"/>
          <w:b/>
          <w:bCs/>
          <w:sz w:val="20"/>
          <w:szCs w:val="20"/>
        </w:rPr>
        <w:t>Nota Explicativa</w:t>
      </w:r>
      <w:r>
        <w:rPr>
          <w:rFonts w:ascii="Arial" w:hAnsi="Arial"/>
          <w:sz w:val="20"/>
          <w:szCs w:val="20"/>
        </w:rPr>
        <w:t>: Quando o Acordo for celebrado entre órgãos de uma mesma entidade não se aplica a Subcláusula única.</w:t>
      </w:r>
    </w:p>
    <w:p>
      <w:pPr>
        <w:pStyle w:val="Normal"/>
        <w:spacing w:lineRule="auto" w:line="360" w:before="0" w:after="0"/>
        <w:ind w:left="0" w:right="0" w:hanging="0"/>
        <w:contextualSpacing/>
        <w:jc w:val="both"/>
        <w:rPr>
          <w:b w:val="false"/>
          <w:b w:val="false"/>
          <w:bCs w:val="false"/>
          <w:i w:val="false"/>
          <w:i w:val="false"/>
          <w:iCs w:val="false"/>
          <w:color w:val="000000"/>
          <w:lang w:eastAsia="pt-BR"/>
        </w:rPr>
      </w:pPr>
      <w:r>
        <w:rPr>
          <w:b w:val="false"/>
          <w:bCs w:val="false"/>
          <w:i w:val="false"/>
          <w:iCs w:val="false"/>
          <w:color w:val="000000"/>
          <w:lang w:eastAsia="pt-BR"/>
        </w:rPr>
      </w:r>
    </w:p>
    <w:p>
      <w:pPr>
        <w:pStyle w:val="Normal"/>
        <w:spacing w:lineRule="auto" w:line="360" w:before="0" w:after="0"/>
        <w:ind w:left="0" w:right="0" w:hanging="0"/>
        <w:contextualSpacing/>
        <w:jc w:val="both"/>
        <w:rPr/>
      </w:pPr>
      <w:r>
        <w:rPr>
          <w:b w:val="false"/>
          <w:bCs w:val="false"/>
          <w:i w:val="false"/>
          <w:iCs w:val="false"/>
          <w:color w:val="000000"/>
          <w:sz w:val="24"/>
          <w:szCs w:val="24"/>
          <w:lang w:eastAsia="pt-BR"/>
        </w:rPr>
        <w:t xml:space="preserve">E, por assim estarem plenamente de acordo, os partícipes obrigam-se ao total e irrenunciável cumprimento dos termos do presente instrumento, o qual lido e achado conforme, assinam as vias adiante de igual teor e forma, que vão assinadas pelos representantes dos partícipes, para que produza seus legais efeitos, em Juízo ou fora dele. </w:t>
      </w:r>
    </w:p>
    <w:p>
      <w:pPr>
        <w:pStyle w:val="Normal"/>
        <w:tabs>
          <w:tab w:val="clear" w:pos="720"/>
          <w:tab w:val="left" w:pos="284" w:leader="none"/>
        </w:tabs>
        <w:spacing w:lineRule="auto" w:line="240" w:before="0" w:after="0"/>
        <w:ind w:left="0" w:right="0" w:hanging="0"/>
        <w:contextualSpacing/>
        <w:jc w:val="center"/>
        <w:rPr>
          <w:rFonts w:ascii="Arial" w:hAnsi="Arial"/>
          <w:sz w:val="22"/>
          <w:szCs w:val="22"/>
          <w:lang w:eastAsia="pt-BR"/>
        </w:rPr>
      </w:pPr>
      <w:r>
        <w:rPr>
          <w:sz w:val="22"/>
          <w:szCs w:val="22"/>
          <w:lang w:eastAsia="pt-BR"/>
        </w:rPr>
      </w:r>
    </w:p>
    <w:p>
      <w:pPr>
        <w:pStyle w:val="Normal"/>
        <w:tabs>
          <w:tab w:val="clear" w:pos="720"/>
          <w:tab w:val="left" w:pos="284" w:leader="none"/>
        </w:tabs>
        <w:spacing w:lineRule="auto" w:line="240" w:before="0" w:after="0"/>
        <w:ind w:left="0" w:right="0" w:hanging="0"/>
        <w:contextualSpacing/>
        <w:jc w:val="center"/>
        <w:rPr>
          <w:rFonts w:ascii="Arial" w:hAnsi="Arial"/>
          <w:b/>
          <w:b/>
          <w:i/>
          <w:i/>
          <w:caps/>
          <w:sz w:val="22"/>
          <w:szCs w:val="22"/>
        </w:rPr>
      </w:pPr>
      <w:r>
        <w:rPr>
          <w:b/>
          <w:i/>
          <w:caps/>
          <w:sz w:val="22"/>
          <w:szCs w:val="22"/>
        </w:rPr>
      </w:r>
    </w:p>
    <w:p>
      <w:pPr>
        <w:pStyle w:val="Normal"/>
        <w:tabs>
          <w:tab w:val="clear" w:pos="720"/>
          <w:tab w:val="left" w:pos="284" w:leader="none"/>
        </w:tabs>
        <w:spacing w:lineRule="auto" w:line="240" w:before="0" w:after="0"/>
        <w:ind w:left="0" w:right="0" w:hanging="0"/>
        <w:contextualSpacing/>
        <w:jc w:val="center"/>
        <w:rPr>
          <w:rFonts w:ascii="Arial" w:hAnsi="Arial"/>
          <w:sz w:val="24"/>
          <w:szCs w:val="24"/>
        </w:rPr>
      </w:pPr>
      <w:r>
        <w:rPr>
          <w:b/>
          <w:bCs w:val="false"/>
          <w:i w:val="false"/>
          <w:iCs w:val="false"/>
          <w:caps/>
          <w:sz w:val="24"/>
          <w:szCs w:val="24"/>
          <w:highlight w:val="white"/>
        </w:rPr>
        <w:t>ONEIDA CRISTINA GOMES BARCELOS IRIGON</w:t>
      </w:r>
    </w:p>
    <w:p>
      <w:pPr>
        <w:pStyle w:val="Normal"/>
        <w:tabs>
          <w:tab w:val="clear" w:pos="720"/>
          <w:tab w:val="left" w:pos="8647" w:leader="none"/>
        </w:tabs>
        <w:spacing w:lineRule="auto" w:line="240" w:before="0" w:after="0"/>
        <w:ind w:left="0" w:right="0" w:hanging="0"/>
        <w:contextualSpacing/>
        <w:jc w:val="center"/>
        <w:rPr>
          <w:sz w:val="22"/>
          <w:szCs w:val="22"/>
        </w:rPr>
      </w:pPr>
      <w:r>
        <w:rPr>
          <w:sz w:val="24"/>
          <w:szCs w:val="24"/>
        </w:rPr>
        <w:t>(</w:t>
      </w:r>
      <w:r>
        <w:rPr>
          <w:i/>
          <w:sz w:val="24"/>
          <w:szCs w:val="24"/>
        </w:rPr>
        <w:t>assinado eletronicamente</w:t>
      </w:r>
      <w:r>
        <w:rPr>
          <w:sz w:val="24"/>
          <w:szCs w:val="24"/>
        </w:rPr>
        <w:t>)</w:t>
      </w:r>
    </w:p>
    <w:p>
      <w:pPr>
        <w:pStyle w:val="Normal"/>
        <w:tabs>
          <w:tab w:val="clear" w:pos="720"/>
          <w:tab w:val="left" w:pos="284" w:leader="none"/>
        </w:tabs>
        <w:spacing w:lineRule="auto" w:line="240" w:before="0" w:after="0"/>
        <w:ind w:left="0" w:right="0" w:hanging="0"/>
        <w:contextualSpacing/>
        <w:jc w:val="center"/>
        <w:rPr>
          <w:sz w:val="22"/>
          <w:szCs w:val="22"/>
        </w:rPr>
      </w:pPr>
      <w:r>
        <w:rPr>
          <w:sz w:val="24"/>
          <w:szCs w:val="24"/>
        </w:rPr>
        <w:t xml:space="preserve">Reitora do IFG </w:t>
      </w:r>
    </w:p>
    <w:p>
      <w:pPr>
        <w:pStyle w:val="Normal"/>
        <w:spacing w:lineRule="auto" w:line="240" w:before="0" w:after="0"/>
        <w:ind w:left="0" w:right="0" w:hanging="0"/>
        <w:contextualSpacing/>
        <w:jc w:val="center"/>
        <w:rPr>
          <w:rFonts w:ascii="Arial" w:hAnsi="Arial"/>
          <w:sz w:val="24"/>
          <w:szCs w:val="24"/>
        </w:rPr>
      </w:pPr>
      <w:r>
        <w:rPr>
          <w:sz w:val="24"/>
          <w:szCs w:val="24"/>
        </w:rPr>
      </w:r>
    </w:p>
    <w:p>
      <w:pPr>
        <w:pStyle w:val="Normal"/>
        <w:spacing w:lineRule="auto" w:line="240" w:before="0" w:after="0"/>
        <w:ind w:left="0" w:right="0" w:hanging="0"/>
        <w:contextualSpacing/>
        <w:jc w:val="center"/>
        <w:rPr>
          <w:rFonts w:ascii="Arial" w:hAnsi="Arial"/>
          <w:sz w:val="24"/>
          <w:szCs w:val="24"/>
        </w:rPr>
      </w:pPr>
      <w:r>
        <w:rPr>
          <w:sz w:val="24"/>
          <w:szCs w:val="24"/>
        </w:rPr>
      </w:r>
    </w:p>
    <w:p>
      <w:pPr>
        <w:pStyle w:val="Normal"/>
        <w:tabs>
          <w:tab w:val="clear" w:pos="720"/>
          <w:tab w:val="left" w:pos="284" w:leader="none"/>
        </w:tabs>
        <w:spacing w:lineRule="auto" w:line="240" w:before="0" w:after="0"/>
        <w:ind w:left="0" w:right="0" w:hanging="0"/>
        <w:contextualSpacing/>
        <w:jc w:val="center"/>
        <w:rPr>
          <w:rFonts w:ascii="Arial" w:hAnsi="Arial" w:eastAsia="Arial"/>
          <w:sz w:val="24"/>
          <w:szCs w:val="24"/>
        </w:rPr>
      </w:pPr>
      <w:r>
        <w:rPr>
          <w:rFonts w:eastAsia="Arial"/>
          <w:sz w:val="24"/>
          <w:szCs w:val="24"/>
        </w:rPr>
      </w:r>
    </w:p>
    <w:p>
      <w:pPr>
        <w:pStyle w:val="Normal"/>
        <w:tabs>
          <w:tab w:val="clear" w:pos="720"/>
          <w:tab w:val="left" w:pos="284" w:leader="none"/>
        </w:tabs>
        <w:spacing w:before="0" w:after="0"/>
        <w:ind w:hanging="0"/>
        <w:jc w:val="center"/>
        <w:rPr/>
      </w:pPr>
      <w:r>
        <w:rPr>
          <w:rStyle w:val="AbsatzStandardschriftart"/>
          <w:rFonts w:cs="Arial" w:cstheme="majorHAnsi"/>
          <w:b/>
          <w:bCs/>
          <w:i/>
          <w:iCs/>
          <w:smallCaps/>
          <w:color w:val="C9211E"/>
          <w:sz w:val="24"/>
          <w:szCs w:val="24"/>
        </w:rPr>
        <w:t>Nome do Representante</w:t>
      </w:r>
    </w:p>
    <w:p>
      <w:pPr>
        <w:pStyle w:val="Normal"/>
        <w:tabs>
          <w:tab w:val="clear" w:pos="720"/>
          <w:tab w:val="left" w:pos="8647" w:leader="none"/>
        </w:tabs>
        <w:spacing w:before="0" w:after="0"/>
        <w:ind w:hanging="0"/>
        <w:jc w:val="center"/>
        <w:rPr>
          <w:rFonts w:ascii="Arial" w:hAnsi="Arial"/>
          <w:sz w:val="24"/>
          <w:szCs w:val="24"/>
        </w:rPr>
      </w:pPr>
      <w:r>
        <w:rPr>
          <w:rFonts w:cs="Arial" w:cstheme="majorHAnsi"/>
          <w:sz w:val="24"/>
          <w:szCs w:val="24"/>
        </w:rPr>
        <w:t>(</w:t>
      </w:r>
      <w:r>
        <w:rPr>
          <w:rFonts w:cs="Arial" w:cstheme="majorHAnsi"/>
          <w:i/>
          <w:sz w:val="24"/>
          <w:szCs w:val="24"/>
        </w:rPr>
        <w:t>assinado eletronicamente</w:t>
      </w:r>
      <w:r>
        <w:rPr>
          <w:rFonts w:cs="Arial" w:cstheme="majorHAnsi"/>
          <w:sz w:val="24"/>
          <w:szCs w:val="24"/>
        </w:rPr>
        <w:t>)</w:t>
      </w:r>
    </w:p>
    <w:p>
      <w:pPr>
        <w:pStyle w:val="Normal"/>
        <w:tabs>
          <w:tab w:val="clear" w:pos="720"/>
          <w:tab w:val="left" w:pos="284" w:leader="none"/>
        </w:tabs>
        <w:spacing w:before="0" w:after="0"/>
        <w:ind w:hanging="0"/>
        <w:jc w:val="center"/>
        <w:rPr>
          <w:rFonts w:ascii="Arial" w:hAnsi="Arial" w:eastAsia="Times New Roman" w:cs="Arial"/>
          <w:i/>
          <w:i/>
          <w:iCs/>
          <w:color w:val="C9211E"/>
          <w:kern w:val="0"/>
          <w:sz w:val="24"/>
          <w:szCs w:val="24"/>
          <w:lang w:val="pt-BR" w:eastAsia="ar-SA" w:bidi="ar-SA"/>
        </w:rPr>
      </w:pPr>
      <w:r>
        <w:rPr>
          <w:rStyle w:val="AbsatzStandardschriftart"/>
          <w:rFonts w:eastAsia="Times New Roman" w:cs="Arial"/>
          <w:i/>
          <w:iCs/>
          <w:color w:val="C9211E"/>
          <w:kern w:val="0"/>
          <w:sz w:val="24"/>
          <w:szCs w:val="24"/>
          <w:lang w:val="pt-BR" w:eastAsia="ar-SA" w:bidi="ar-SA"/>
        </w:rPr>
        <w:t xml:space="preserve">Cargo do (a) representante </w:t>
      </w:r>
    </w:p>
    <w:p>
      <w:pPr>
        <w:pStyle w:val="Normal"/>
        <w:tabs>
          <w:tab w:val="clear" w:pos="720"/>
          <w:tab w:val="left" w:pos="284" w:leader="none"/>
        </w:tabs>
        <w:spacing w:lineRule="auto" w:line="240" w:before="0" w:after="0"/>
        <w:ind w:hanging="0"/>
        <w:jc w:val="center"/>
        <w:rPr>
          <w:i/>
          <w:i/>
          <w:iCs w:val="false"/>
          <w:caps/>
        </w:rPr>
      </w:pPr>
      <w:r>
        <w:rPr>
          <w:i/>
          <w:iCs w:val="false"/>
          <w:caps/>
        </w:rPr>
      </w:r>
    </w:p>
    <w:p>
      <w:pPr>
        <w:pStyle w:val="Normal"/>
        <w:tabs>
          <w:tab w:val="clear" w:pos="720"/>
          <w:tab w:val="left" w:pos="284" w:leader="none"/>
        </w:tabs>
        <w:spacing w:lineRule="auto" w:line="240" w:before="0" w:after="0"/>
        <w:ind w:left="0" w:right="0" w:hanging="0"/>
        <w:contextualSpacing/>
        <w:jc w:val="center"/>
        <w:rPr>
          <w:rFonts w:ascii="Arial" w:hAnsi="Arial" w:eastAsia="Arial"/>
          <w:b w:val="false"/>
          <w:b w:val="false"/>
          <w:bCs w:val="false"/>
          <w:sz w:val="24"/>
          <w:szCs w:val="24"/>
        </w:rPr>
      </w:pPr>
      <w:r>
        <w:rPr>
          <w:rFonts w:eastAsia="Arial"/>
          <w:b w:val="false"/>
          <w:bCs w:val="false"/>
          <w:sz w:val="24"/>
          <w:szCs w:val="24"/>
        </w:rPr>
      </w:r>
    </w:p>
    <w:p>
      <w:pPr>
        <w:pStyle w:val="Normal"/>
        <w:tabs>
          <w:tab w:val="clear" w:pos="720"/>
          <w:tab w:val="left" w:pos="8647" w:leader="none"/>
        </w:tabs>
        <w:spacing w:lineRule="auto" w:line="240" w:before="0" w:after="0"/>
        <w:ind w:left="0" w:right="0" w:hanging="0"/>
        <w:contextualSpacing/>
        <w:rPr>
          <w:rFonts w:ascii="Arial" w:hAnsi="Arial"/>
          <w:b/>
          <w:b/>
          <w:sz w:val="22"/>
          <w:szCs w:val="22"/>
        </w:rPr>
      </w:pPr>
      <w:r>
        <w:rPr>
          <w:b/>
          <w:sz w:val="22"/>
          <w:szCs w:val="22"/>
        </w:rPr>
      </w:r>
    </w:p>
    <w:p>
      <w:pPr>
        <w:pStyle w:val="Normal"/>
        <w:tabs>
          <w:tab w:val="clear" w:pos="720"/>
          <w:tab w:val="left" w:pos="8647" w:leader="none"/>
        </w:tabs>
        <w:spacing w:lineRule="auto" w:line="240" w:before="0" w:after="0"/>
        <w:ind w:left="0" w:right="0" w:hanging="0"/>
        <w:contextualSpacing/>
        <w:rPr>
          <w:sz w:val="22"/>
          <w:szCs w:val="22"/>
        </w:rPr>
      </w:pPr>
      <w:r>
        <w:rPr>
          <w:b/>
          <w:sz w:val="22"/>
          <w:szCs w:val="22"/>
        </w:rPr>
        <w:t>Testemunhas:</w:t>
      </w:r>
    </w:p>
    <w:p>
      <w:pPr>
        <w:pStyle w:val="Normal"/>
        <w:tabs>
          <w:tab w:val="clear" w:pos="720"/>
          <w:tab w:val="left" w:pos="8647" w:leader="none"/>
        </w:tabs>
        <w:spacing w:lineRule="auto" w:line="240" w:before="0" w:after="0"/>
        <w:ind w:left="0" w:right="0" w:hanging="0"/>
        <w:contextualSpacing/>
        <w:rPr>
          <w:rFonts w:ascii="Arial" w:hAnsi="Arial"/>
          <w:sz w:val="22"/>
          <w:szCs w:val="22"/>
        </w:rPr>
      </w:pPr>
      <w:r>
        <w:rPr>
          <w:sz w:val="22"/>
          <w:szCs w:val="22"/>
        </w:rPr>
      </w:r>
    </w:p>
    <w:p>
      <w:pPr>
        <w:pStyle w:val="Normal"/>
        <w:tabs>
          <w:tab w:val="clear" w:pos="720"/>
          <w:tab w:val="left" w:pos="8647" w:leader="none"/>
        </w:tabs>
        <w:spacing w:before="0" w:after="0"/>
        <w:ind w:hanging="0"/>
        <w:rPr/>
      </w:pPr>
      <w:r>
        <w:rPr>
          <w:rFonts w:cs="Arial" w:cstheme="majorHAnsi"/>
        </w:rPr>
        <w:t>Por parte do IFG:</w:t>
      </w:r>
    </w:p>
    <w:p>
      <w:pPr>
        <w:pStyle w:val="Normal"/>
        <w:tabs>
          <w:tab w:val="clear" w:pos="720"/>
          <w:tab w:val="left" w:pos="8647" w:leader="none"/>
        </w:tabs>
        <w:spacing w:before="0" w:after="0"/>
        <w:ind w:hanging="0"/>
        <w:rPr/>
      </w:pPr>
      <w:r>
        <w:rPr>
          <w:rFonts w:cs="Arial" w:cstheme="majorHAnsi"/>
        </w:rPr>
        <w:t>(</w:t>
      </w:r>
      <w:r>
        <w:rPr>
          <w:rFonts w:cs="Arial" w:cstheme="majorHAnsi"/>
          <w:i/>
        </w:rPr>
        <w:t>assinado eletronicamente</w:t>
      </w:r>
      <w:r>
        <w:rPr>
          <w:rFonts w:cs="Arial" w:cstheme="majorHAnsi"/>
        </w:rPr>
        <w:t>)</w:t>
      </w:r>
    </w:p>
    <w:p>
      <w:pPr>
        <w:pStyle w:val="Normal"/>
        <w:tabs>
          <w:tab w:val="clear" w:pos="720"/>
          <w:tab w:val="left" w:pos="8647" w:leader="none"/>
        </w:tabs>
        <w:spacing w:lineRule="auto" w:line="240" w:before="0" w:after="0"/>
        <w:ind w:hanging="0"/>
        <w:rPr>
          <w:rFonts w:ascii="Arial" w:hAnsi="Arial" w:eastAsia="Times New Roman" w:cs="Arial" w:cstheme="majorHAnsi"/>
          <w:i/>
          <w:i/>
          <w:iCs/>
          <w:color w:val="C9211E"/>
          <w:kern w:val="0"/>
          <w:sz w:val="22"/>
          <w:szCs w:val="22"/>
          <w:lang w:val="pt-BR" w:eastAsia="pt-BR" w:bidi="ar-SA"/>
        </w:rPr>
      </w:pPr>
      <w:r>
        <w:rPr>
          <w:rFonts w:eastAsia="Times New Roman" w:cs="Arial" w:cstheme="majorHAnsi"/>
          <w:i/>
          <w:iCs/>
          <w:color w:val="C9211E"/>
          <w:kern w:val="0"/>
          <w:sz w:val="22"/>
          <w:szCs w:val="22"/>
          <w:lang w:val="pt-BR" w:eastAsia="pt-BR" w:bidi="ar-SA"/>
        </w:rPr>
        <w:t>Nome do(a) representante do IFG</w:t>
      </w:r>
    </w:p>
    <w:p>
      <w:pPr>
        <w:pStyle w:val="Normal"/>
        <w:tabs>
          <w:tab w:val="clear" w:pos="720"/>
          <w:tab w:val="left" w:pos="8647" w:leader="none"/>
        </w:tabs>
        <w:spacing w:lineRule="auto" w:line="240" w:before="0" w:after="0"/>
        <w:ind w:left="0" w:right="0" w:hanging="0"/>
        <w:contextualSpacing/>
        <w:rPr>
          <w:rFonts w:ascii="Arial" w:hAnsi="Arial"/>
          <w:sz w:val="22"/>
          <w:szCs w:val="22"/>
        </w:rPr>
      </w:pPr>
      <w:r>
        <w:rPr>
          <w:sz w:val="22"/>
          <w:szCs w:val="22"/>
        </w:rPr>
      </w:r>
    </w:p>
    <w:p>
      <w:pPr>
        <w:pStyle w:val="Normal"/>
        <w:tabs>
          <w:tab w:val="clear" w:pos="720"/>
          <w:tab w:val="left" w:pos="8647" w:leader="none"/>
        </w:tabs>
        <w:spacing w:lineRule="auto" w:line="240" w:before="0" w:after="0"/>
        <w:ind w:left="0" w:right="0" w:hanging="0"/>
        <w:contextualSpacing/>
        <w:rPr>
          <w:rFonts w:ascii="Arial" w:hAnsi="Arial"/>
          <w:sz w:val="22"/>
          <w:szCs w:val="22"/>
        </w:rPr>
      </w:pPr>
      <w:r>
        <w:rPr>
          <w:sz w:val="22"/>
          <w:szCs w:val="22"/>
        </w:rPr>
      </w:r>
    </w:p>
    <w:p>
      <w:pPr>
        <w:pStyle w:val="Normal"/>
        <w:tabs>
          <w:tab w:val="clear" w:pos="720"/>
          <w:tab w:val="left" w:pos="8647" w:leader="none"/>
        </w:tabs>
        <w:spacing w:before="0" w:after="0"/>
        <w:ind w:hanging="0"/>
        <w:rPr/>
      </w:pPr>
      <w:r>
        <w:rPr>
          <w:rFonts w:cs="Arial" w:cstheme="majorHAnsi"/>
        </w:rPr>
        <w:t>Por parte do Partícipe:</w:t>
      </w:r>
    </w:p>
    <w:p>
      <w:pPr>
        <w:pStyle w:val="Normal"/>
        <w:tabs>
          <w:tab w:val="clear" w:pos="720"/>
          <w:tab w:val="left" w:pos="8647" w:leader="none"/>
        </w:tabs>
        <w:spacing w:before="0" w:after="0"/>
        <w:ind w:hanging="0"/>
        <w:rPr/>
      </w:pPr>
      <w:r>
        <w:rPr>
          <w:rFonts w:cs="Arial" w:cstheme="majorHAnsi"/>
        </w:rPr>
        <w:t>(</w:t>
      </w:r>
      <w:r>
        <w:rPr>
          <w:rFonts w:cs="Arial" w:cstheme="majorHAnsi"/>
          <w:i/>
        </w:rPr>
        <w:t>assinado eletronicamente</w:t>
      </w:r>
      <w:r>
        <w:rPr>
          <w:rFonts w:cs="Arial" w:cstheme="majorHAnsi"/>
        </w:rPr>
        <w:t>)</w:t>
      </w:r>
    </w:p>
    <w:p>
      <w:pPr>
        <w:pStyle w:val="Normal"/>
        <w:tabs>
          <w:tab w:val="clear" w:pos="720"/>
          <w:tab w:val="left" w:pos="8647" w:leader="none"/>
        </w:tabs>
        <w:spacing w:lineRule="auto" w:line="240" w:before="0" w:after="0"/>
        <w:ind w:hanging="0"/>
        <w:rPr/>
      </w:pPr>
      <w:r>
        <w:rPr>
          <w:rFonts w:eastAsia="Times New Roman" w:cs="Arial" w:cstheme="majorHAnsi"/>
          <w:i/>
          <w:iCs/>
          <w:color w:val="C9211E"/>
          <w:kern w:val="0"/>
          <w:sz w:val="22"/>
          <w:szCs w:val="22"/>
          <w:lang w:val="pt-BR" w:eastAsia="pt-BR" w:bidi="ar-SA"/>
        </w:rPr>
        <w:t>Nome do(a) representante do Partícipe</w:t>
      </w:r>
    </w:p>
    <w:p>
      <w:pPr>
        <w:pStyle w:val="Normal"/>
        <w:tabs>
          <w:tab w:val="clear" w:pos="720"/>
          <w:tab w:val="left" w:pos="8647" w:leader="none"/>
        </w:tabs>
        <w:spacing w:lineRule="auto" w:line="240" w:before="0" w:after="0"/>
        <w:ind w:left="0" w:right="0" w:hanging="0"/>
        <w:contextualSpacing/>
        <w:rPr>
          <w:rFonts w:ascii="Arial" w:hAnsi="Arial" w:eastAsia="Times New Roman" w:cs="Arial" w:cstheme="majorHAnsi"/>
          <w:color w:val="auto"/>
          <w:kern w:val="0"/>
          <w:sz w:val="22"/>
          <w:szCs w:val="22"/>
          <w:lang w:val="pt-BR" w:eastAsia="pt-BR" w:bidi="ar-SA"/>
        </w:rPr>
      </w:pPr>
      <w:r>
        <w:rPr>
          <w:rFonts w:eastAsia="Times New Roman" w:cs="Arial" w:cstheme="majorHAnsi"/>
          <w:color w:val="auto"/>
          <w:kern w:val="0"/>
          <w:sz w:val="22"/>
          <w:szCs w:val="22"/>
          <w:lang w:val="pt-BR" w:eastAsia="pt-BR" w:bidi="ar-SA"/>
        </w:rPr>
      </w:r>
    </w:p>
    <w:p>
      <w:pPr>
        <w:pStyle w:val="Normal"/>
        <w:tabs>
          <w:tab w:val="clear" w:pos="720"/>
          <w:tab w:val="left" w:pos="8647" w:leader="none"/>
        </w:tabs>
        <w:spacing w:lineRule="auto" w:line="240" w:before="0" w:after="0"/>
        <w:ind w:hanging="0"/>
        <w:rPr>
          <w:rFonts w:cs="Arial" w:cstheme="majorHAnsi"/>
          <w:sz w:val="22"/>
          <w:szCs w:val="22"/>
          <w:lang w:eastAsia="pt-BR"/>
        </w:rPr>
      </w:pPr>
      <w:r>
        <w:rPr>
          <w:rFonts w:cs="Arial" w:cstheme="majorHAnsi"/>
          <w:sz w:val="22"/>
          <w:szCs w:val="22"/>
          <w:lang w:eastAsia="pt-BR"/>
        </w:rPr>
      </w:r>
    </w:p>
    <w:p>
      <w:pPr>
        <w:pStyle w:val="Normal"/>
        <w:tabs>
          <w:tab w:val="clear" w:pos="720"/>
          <w:tab w:val="left" w:pos="8647" w:leader="none"/>
        </w:tabs>
        <w:spacing w:lineRule="auto" w:line="240" w:before="0" w:after="0"/>
        <w:ind w:hanging="0"/>
        <w:rPr/>
      </w:pPr>
      <w:r>
        <w:rPr/>
      </w:r>
    </w:p>
    <w:sectPr>
      <w:headerReference w:type="default" r:id="rId3"/>
      <w:footerReference w:type="default" r:id="rId4"/>
      <w:type w:val="nextPage"/>
      <w:pgSz w:w="11906" w:h="16838"/>
      <w:pgMar w:left="1134" w:right="1134" w:header="1134" w:top="2269" w:footer="1134" w:bottom="1928"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Lucida Grande">
    <w:charset w:val="00"/>
    <w:family w:val="roman"/>
    <w:pitch w:val="variable"/>
  </w:font>
  <w:font w:name="Tahoma">
    <w:charset w:val="00"/>
    <w:family w:val="roman"/>
    <w:pitch w:val="variable"/>
  </w:font>
  <w:font w:name="Liberation Sans">
    <w:altName w:val="Arial"/>
    <w:charset w:val="00"/>
    <w:family w:val="roman"/>
    <w:pitch w:val="variable"/>
  </w:font>
  <w:font w:name="Arial Narrow">
    <w:charset w:val="00"/>
    <w:family w:val="roman"/>
    <w:pitch w:val="variable"/>
  </w:font>
  <w:font w:name="Garamond">
    <w:charset w:val="00"/>
    <w:family w:val="roman"/>
    <w:pitch w:val="variable"/>
  </w:font>
  <w:font w:name="Arial">
    <w:charset w:val="01"/>
    <w:family w:val="swiss"/>
    <w:pitch w:val="variable"/>
  </w:font>
  <w:font w:name="Swis721 Lt B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pPr>
    <w:r>
      <w:rPr/>
      <w:fldChar w:fldCharType="begin"/>
    </w:r>
    <w:r>
      <w:rPr/>
      <w:instrText> PAGE </w:instrText>
    </w:r>
    <w:r>
      <w:rPr/>
      <w:fldChar w:fldCharType="separate"/>
    </w:r>
    <w:r>
      <w:rPr/>
      <w:t>9</w:t>
    </w:r>
    <w:r>
      <w:rPr/>
      <w:fldChar w:fldCharType="end"/>
    </w:r>
  </w:p>
  <w:p>
    <w:pPr>
      <w:pStyle w:val="Rodap"/>
      <w:spacing w:before="0" w:after="6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spacing w:before="0" w:after="0"/>
      <w:ind w:hanging="0"/>
      <w:jc w:val="left"/>
      <w:rPr/>
    </w:pPr>
    <w:r>
      <w:rPr/>
      <w:drawing>
        <wp:inline distT="0" distB="0" distL="0" distR="0">
          <wp:extent cx="2007870" cy="626745"/>
          <wp:effectExtent l="0" t="0" r="0" b="0"/>
          <wp:docPr id="3" name="Imagem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3" descr=""/>
                  <pic:cNvPicPr>
                    <a:picLocks noChangeAspect="1" noChangeArrowheads="1"/>
                  </pic:cNvPicPr>
                </pic:nvPicPr>
                <pic:blipFill>
                  <a:blip r:embed="rId1"/>
                  <a:stretch>
                    <a:fillRect/>
                  </a:stretch>
                </pic:blipFill>
                <pic:spPr bwMode="auto">
                  <a:xfrm>
                    <a:off x="0" y="0"/>
                    <a:ext cx="2007870" cy="626745"/>
                  </a:xfrm>
                  <a:prstGeom prst="rect">
                    <a:avLst/>
                  </a:prstGeom>
                </pic:spPr>
              </pic:pic>
            </a:graphicData>
          </a:graphic>
        </wp:inline>
      </w:drawing>
      <mc:AlternateContent>
        <mc:Choice Requires="wps">
          <w:drawing>
            <wp:anchor behindDoc="1" distT="0" distB="0" distL="114300" distR="114300" simplePos="0" locked="0" layoutInCell="1" allowOverlap="1" relativeHeight="12">
              <wp:simplePos x="0" y="0"/>
              <wp:positionH relativeFrom="column">
                <wp:posOffset>2270125</wp:posOffset>
              </wp:positionH>
              <wp:positionV relativeFrom="paragraph">
                <wp:posOffset>53340</wp:posOffset>
              </wp:positionV>
              <wp:extent cx="3883025" cy="606425"/>
              <wp:effectExtent l="0" t="0" r="0" b="0"/>
              <wp:wrapSquare wrapText="bothSides"/>
              <wp:docPr id="1" name="Quadro1"/>
              <a:graphic xmlns:a="http://schemas.openxmlformats.org/drawingml/2006/main">
                <a:graphicData uri="http://schemas.microsoft.com/office/word/2010/wordprocessingShape">
                  <wps:wsp>
                    <wps:cNvSpPr/>
                    <wps:spPr>
                      <a:xfrm>
                        <a:off x="0" y="0"/>
                        <a:ext cx="3882240" cy="605880"/>
                      </a:xfrm>
                      <a:prstGeom prst="rect">
                        <a:avLst/>
                      </a:prstGeom>
                      <a:solidFill>
                        <a:srgbClr val="ffffff"/>
                      </a:solidFill>
                      <a:ln>
                        <a:noFill/>
                      </a:ln>
                    </wps:spPr>
                    <wps:style>
                      <a:lnRef idx="0"/>
                      <a:fillRef idx="0"/>
                      <a:effectRef idx="0"/>
                      <a:fontRef idx="minor"/>
                    </wps:style>
                    <wps:txbx>
                      <w:txbxContent>
                        <w:p>
                          <w:pPr>
                            <w:pStyle w:val="Logo"/>
                            <w:spacing w:before="120" w:after="0"/>
                            <w:rPr>
                              <w:rFonts w:ascii="Arial" w:hAnsi="Arial" w:cs="Arial"/>
                              <w:b/>
                              <w:b/>
                              <w:sz w:val="16"/>
                              <w:szCs w:val="16"/>
                            </w:rPr>
                          </w:pPr>
                          <w:r>
                            <w:rPr>
                              <w:rFonts w:cs="Arial" w:ascii="Arial" w:hAnsi="Arial"/>
                              <w:b/>
                              <w:color w:val="000000"/>
                              <w:sz w:val="16"/>
                              <w:szCs w:val="16"/>
                            </w:rPr>
                            <w:t>MINISTÉRIO DA EDUCAÇÃO</w:t>
                          </w:r>
                        </w:p>
                        <w:p>
                          <w:pPr>
                            <w:pStyle w:val="Logo"/>
                            <w:rPr>
                              <w:rFonts w:ascii="Arial" w:hAnsi="Arial" w:cs="Arial"/>
                              <w:b/>
                              <w:b/>
                              <w:sz w:val="16"/>
                              <w:szCs w:val="16"/>
                            </w:rPr>
                          </w:pPr>
                          <w:r>
                            <w:rPr>
                              <w:rFonts w:cs="Arial" w:ascii="Arial" w:hAnsi="Arial"/>
                              <w:b/>
                              <w:color w:val="000000"/>
                              <w:sz w:val="16"/>
                              <w:szCs w:val="16"/>
                            </w:rPr>
                            <w:t>SECRETARIA DE EDUCAÇÃO PROFISSIONAL E TECNOLÓGICA</w:t>
                          </w:r>
                        </w:p>
                        <w:p>
                          <w:pPr>
                            <w:pStyle w:val="Logo"/>
                            <w:rPr>
                              <w:rFonts w:ascii="Arial" w:hAnsi="Arial" w:cs="Arial"/>
                              <w:b/>
                              <w:b/>
                              <w:sz w:val="16"/>
                              <w:szCs w:val="16"/>
                            </w:rPr>
                          </w:pPr>
                          <w:r>
                            <w:rPr>
                              <w:rFonts w:cs="Arial" w:ascii="Arial" w:hAnsi="Arial"/>
                              <w:b/>
                              <w:color w:val="000000"/>
                              <w:sz w:val="16"/>
                              <w:szCs w:val="16"/>
                            </w:rPr>
                            <w:t>INSTITUTO FEDERAL DE EDUCAÇÃO, CIÊNCIA E TECNOLOGIA DE GOIÁS</w:t>
                          </w:r>
                        </w:p>
                        <w:p>
                          <w:pPr>
                            <w:pStyle w:val="Logo"/>
                            <w:rPr>
                              <w:rFonts w:ascii="Arial" w:hAnsi="Arial" w:cs="Arial"/>
                              <w:b/>
                              <w:b/>
                              <w:sz w:val="16"/>
                              <w:szCs w:val="16"/>
                            </w:rPr>
                          </w:pPr>
                          <w:r>
                            <w:rPr>
                              <w:rFonts w:cs="Arial" w:ascii="Arial" w:hAnsi="Arial"/>
                              <w:b/>
                              <w:color w:val="000000"/>
                              <w:sz w:val="16"/>
                              <w:szCs w:val="16"/>
                            </w:rPr>
                            <w:t>REITORIA</w:t>
                          </w:r>
                        </w:p>
                        <w:p>
                          <w:pPr>
                            <w:pStyle w:val="Logo"/>
                            <w:rPr>
                              <w:rFonts w:ascii="Arial" w:hAnsi="Arial" w:cs="Arial"/>
                              <w:b/>
                              <w:b/>
                              <w:sz w:val="17"/>
                              <w:szCs w:val="17"/>
                            </w:rPr>
                          </w:pPr>
                          <w:r>
                            <w:rPr>
                              <w:rFonts w:cs="Arial" w:ascii="Arial" w:hAnsi="Arial"/>
                              <w:b/>
                              <w:sz w:val="17"/>
                              <w:szCs w:val="17"/>
                            </w:rPr>
                          </w:r>
                        </w:p>
                      </w:txbxContent>
                    </wps:txbx>
                    <wps:bodyPr>
                      <a:noAutofit/>
                    </wps:bodyPr>
                  </wps:wsp>
                </a:graphicData>
              </a:graphic>
            </wp:anchor>
          </w:drawing>
        </mc:Choice>
        <mc:Fallback>
          <w:pict>
            <v:rect id="shape_0" ID="Quadro1" fillcolor="white" stroked="f" style="position:absolute;margin-left:178.75pt;margin-top:4.2pt;width:305.65pt;height:47.65pt">
              <w10:wrap type="square"/>
              <v:fill o:detectmouseclick="t" type="solid" color2="black"/>
              <v:stroke color="#3465a4" joinstyle="round" endcap="flat"/>
              <v:textbox>
                <w:txbxContent>
                  <w:p>
                    <w:pPr>
                      <w:pStyle w:val="Logo"/>
                      <w:spacing w:before="120" w:after="0"/>
                      <w:rPr>
                        <w:rFonts w:ascii="Arial" w:hAnsi="Arial" w:cs="Arial"/>
                        <w:b/>
                        <w:b/>
                        <w:sz w:val="16"/>
                        <w:szCs w:val="16"/>
                      </w:rPr>
                    </w:pPr>
                    <w:r>
                      <w:rPr>
                        <w:rFonts w:cs="Arial" w:ascii="Arial" w:hAnsi="Arial"/>
                        <w:b/>
                        <w:color w:val="000000"/>
                        <w:sz w:val="16"/>
                        <w:szCs w:val="16"/>
                      </w:rPr>
                      <w:t>MINISTÉRIO DA EDUCAÇÃO</w:t>
                    </w:r>
                  </w:p>
                  <w:p>
                    <w:pPr>
                      <w:pStyle w:val="Logo"/>
                      <w:rPr>
                        <w:rFonts w:ascii="Arial" w:hAnsi="Arial" w:cs="Arial"/>
                        <w:b/>
                        <w:b/>
                        <w:sz w:val="16"/>
                        <w:szCs w:val="16"/>
                      </w:rPr>
                    </w:pPr>
                    <w:r>
                      <w:rPr>
                        <w:rFonts w:cs="Arial" w:ascii="Arial" w:hAnsi="Arial"/>
                        <w:b/>
                        <w:color w:val="000000"/>
                        <w:sz w:val="16"/>
                        <w:szCs w:val="16"/>
                      </w:rPr>
                      <w:t>SECRETARIA DE EDUCAÇÃO PROFISSIONAL E TECNOLÓGICA</w:t>
                    </w:r>
                  </w:p>
                  <w:p>
                    <w:pPr>
                      <w:pStyle w:val="Logo"/>
                      <w:rPr>
                        <w:rFonts w:ascii="Arial" w:hAnsi="Arial" w:cs="Arial"/>
                        <w:b/>
                        <w:b/>
                        <w:sz w:val="16"/>
                        <w:szCs w:val="16"/>
                      </w:rPr>
                    </w:pPr>
                    <w:r>
                      <w:rPr>
                        <w:rFonts w:cs="Arial" w:ascii="Arial" w:hAnsi="Arial"/>
                        <w:b/>
                        <w:color w:val="000000"/>
                        <w:sz w:val="16"/>
                        <w:szCs w:val="16"/>
                      </w:rPr>
                      <w:t>INSTITUTO FEDERAL DE EDUCAÇÃO, CIÊNCIA E TECNOLOGIA DE GOIÁS</w:t>
                    </w:r>
                  </w:p>
                  <w:p>
                    <w:pPr>
                      <w:pStyle w:val="Logo"/>
                      <w:rPr>
                        <w:rFonts w:ascii="Arial" w:hAnsi="Arial" w:cs="Arial"/>
                        <w:b/>
                        <w:b/>
                        <w:sz w:val="16"/>
                        <w:szCs w:val="16"/>
                      </w:rPr>
                    </w:pPr>
                    <w:r>
                      <w:rPr>
                        <w:rFonts w:cs="Arial" w:ascii="Arial" w:hAnsi="Arial"/>
                        <w:b/>
                        <w:color w:val="000000"/>
                        <w:sz w:val="16"/>
                        <w:szCs w:val="16"/>
                      </w:rPr>
                      <w:t>REITORIA</w:t>
                    </w:r>
                  </w:p>
                  <w:p>
                    <w:pPr>
                      <w:pStyle w:val="Logo"/>
                      <w:rPr>
                        <w:rFonts w:ascii="Arial" w:hAnsi="Arial" w:cs="Arial"/>
                        <w:b/>
                        <w:b/>
                        <w:sz w:val="17"/>
                        <w:szCs w:val="17"/>
                      </w:rPr>
                    </w:pPr>
                    <w:r>
                      <w:rPr>
                        <w:rFonts w:cs="Arial" w:ascii="Arial" w:hAnsi="Arial"/>
                        <w:b/>
                        <w:sz w:val="17"/>
                        <w:szCs w:val="17"/>
                      </w:rPr>
                    </w:r>
                  </w:p>
                </w:txbxContent>
              </v:textbox>
            </v:rect>
          </w:pict>
        </mc:Fallback>
      </mc:AlternateContent>
    </w:r>
  </w:p>
  <w:p>
    <w:pPr>
      <w:pStyle w:val="Cabealho"/>
      <w:spacing w:before="0" w:after="0"/>
      <w:ind w:hanging="0"/>
      <w:jc w:val="left"/>
      <w:rPr/>
    </w:pPr>
    <w:r>
      <w:rPr/>
    </w:r>
  </w:p>
  <w:p>
    <w:pPr>
      <w:pStyle w:val="Cabealho"/>
      <w:spacing w:before="0" w:after="0"/>
      <w:ind w:hanging="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lvl>
    <w:lvl w:ilvl="1">
      <w:start w:val="1"/>
      <w:pStyle w:val="Ttulo2"/>
      <w:numFmt w:val="none"/>
      <w:suff w:val="nothing"/>
      <w:lvlText w:val=""/>
      <w:lvlJc w:val="left"/>
      <w:pPr>
        <w:ind w:left="0" w:hanging="0"/>
      </w:pPr>
    </w:lvl>
    <w:lvl w:ilvl="2">
      <w:start w:val="1"/>
      <w:pStyle w:val="Ttulo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pStyle w:val="Ttulo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4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Normal" w:default="1">
    <w:name w:val="Normal"/>
    <w:qFormat/>
    <w:rsid w:val="00bc7322"/>
    <w:pPr>
      <w:widowControl/>
      <w:suppressAutoHyphens w:val="true"/>
      <w:bidi w:val="0"/>
      <w:spacing w:before="0" w:after="60"/>
      <w:ind w:firstLine="709"/>
      <w:jc w:val="both"/>
    </w:pPr>
    <w:rPr>
      <w:rFonts w:ascii="Arial" w:hAnsi="Arial" w:eastAsia="Times New Roman" w:cs="Arial"/>
      <w:color w:val="auto"/>
      <w:kern w:val="0"/>
      <w:sz w:val="24"/>
      <w:szCs w:val="24"/>
      <w:lang w:val="pt-BR" w:eastAsia="ar-SA" w:bidi="ar-SA"/>
    </w:rPr>
  </w:style>
  <w:style w:type="paragraph" w:styleId="Ttulo1" w:customStyle="1">
    <w:name w:val="Heading 1"/>
    <w:basedOn w:val="Ttulo21"/>
    <w:next w:val="Corpodotexto"/>
    <w:qFormat/>
    <w:rsid w:val="00bc7322"/>
    <w:pPr>
      <w:numPr>
        <w:ilvl w:val="0"/>
        <w:numId w:val="1"/>
      </w:numPr>
      <w:tabs>
        <w:tab w:val="clear" w:pos="720"/>
        <w:tab w:val="left" w:pos="0" w:leader="none"/>
      </w:tabs>
      <w:ind w:left="432" w:hanging="432"/>
      <w:outlineLvl w:val="0"/>
    </w:pPr>
    <w:rPr>
      <w:b/>
      <w:bCs/>
      <w:sz w:val="32"/>
      <w:szCs w:val="32"/>
    </w:rPr>
  </w:style>
  <w:style w:type="paragraph" w:styleId="Ttulo2" w:customStyle="1">
    <w:name w:val="Heading 2"/>
    <w:basedOn w:val="Ttulo21"/>
    <w:next w:val="Corpodotexto"/>
    <w:qFormat/>
    <w:rsid w:val="00bc7322"/>
    <w:pPr>
      <w:numPr>
        <w:ilvl w:val="1"/>
        <w:numId w:val="1"/>
      </w:numPr>
      <w:tabs>
        <w:tab w:val="clear" w:pos="720"/>
        <w:tab w:val="left" w:pos="0" w:leader="none"/>
      </w:tabs>
      <w:ind w:left="576" w:hanging="576"/>
      <w:outlineLvl w:val="1"/>
    </w:pPr>
    <w:rPr>
      <w:b/>
      <w:bCs/>
      <w:i/>
      <w:iCs/>
    </w:rPr>
  </w:style>
  <w:style w:type="paragraph" w:styleId="Ttulo3" w:customStyle="1">
    <w:name w:val="Heading 3"/>
    <w:basedOn w:val="Normal"/>
    <w:next w:val="Normal"/>
    <w:qFormat/>
    <w:rsid w:val="00bc7322"/>
    <w:pPr>
      <w:keepNext w:val="true"/>
      <w:numPr>
        <w:ilvl w:val="2"/>
        <w:numId w:val="1"/>
      </w:numPr>
      <w:tabs>
        <w:tab w:val="clear" w:pos="720"/>
        <w:tab w:val="left" w:pos="0" w:leader="none"/>
      </w:tabs>
      <w:spacing w:before="0" w:after="0"/>
      <w:jc w:val="left"/>
      <w:outlineLvl w:val="2"/>
    </w:pPr>
    <w:rPr>
      <w:b/>
      <w:color w:val="0000FF"/>
      <w:sz w:val="28"/>
      <w:szCs w:val="20"/>
    </w:rPr>
  </w:style>
  <w:style w:type="paragraph" w:styleId="Ttulo7" w:customStyle="1">
    <w:name w:val="Heading 7"/>
    <w:basedOn w:val="Normal"/>
    <w:next w:val="Normal"/>
    <w:qFormat/>
    <w:rsid w:val="00bc7322"/>
    <w:pPr>
      <w:spacing w:before="240" w:after="60"/>
      <w:outlineLvl w:val="6"/>
    </w:pPr>
    <w:rPr>
      <w:rFonts w:ascii="Calibri" w:hAnsi="Calibri" w:cs="Times New Roman"/>
    </w:rPr>
  </w:style>
  <w:style w:type="paragraph" w:styleId="Ttulo9" w:customStyle="1">
    <w:name w:val="Heading 9"/>
    <w:basedOn w:val="Normal"/>
    <w:next w:val="Normal"/>
    <w:qFormat/>
    <w:rsid w:val="00bc7322"/>
    <w:pPr>
      <w:keepNext w:val="true"/>
      <w:numPr>
        <w:ilvl w:val="8"/>
        <w:numId w:val="1"/>
      </w:numPr>
      <w:tabs>
        <w:tab w:val="clear" w:pos="720"/>
        <w:tab w:val="left" w:pos="0" w:leader="none"/>
      </w:tabs>
      <w:ind w:left="-142" w:firstLine="709"/>
      <w:outlineLvl w:val="8"/>
    </w:pPr>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bc7322"/>
    <w:rPr/>
  </w:style>
  <w:style w:type="character" w:styleId="WWAbsatzStandardschriftart" w:customStyle="1">
    <w:name w:val="WW-Absatz-Standardschriftart"/>
    <w:qFormat/>
    <w:rsid w:val="00bc7322"/>
    <w:rPr/>
  </w:style>
  <w:style w:type="character" w:styleId="WWAbsatzStandardschriftart1" w:customStyle="1">
    <w:name w:val="WW-Absatz-Standardschriftart1"/>
    <w:qFormat/>
    <w:rsid w:val="00bc7322"/>
    <w:rPr/>
  </w:style>
  <w:style w:type="character" w:styleId="WWAbsatzStandardschriftart11" w:customStyle="1">
    <w:name w:val="WW-Absatz-Standardschriftart11"/>
    <w:qFormat/>
    <w:rsid w:val="00bc7322"/>
    <w:rPr/>
  </w:style>
  <w:style w:type="character" w:styleId="WWAbsatzStandardschriftart111" w:customStyle="1">
    <w:name w:val="WW-Absatz-Standardschriftart111"/>
    <w:qFormat/>
    <w:rsid w:val="00bc7322"/>
    <w:rPr/>
  </w:style>
  <w:style w:type="character" w:styleId="WWAbsatzStandardschriftart1111" w:customStyle="1">
    <w:name w:val="WW-Absatz-Standardschriftart1111"/>
    <w:qFormat/>
    <w:rsid w:val="00bc7322"/>
    <w:rPr/>
  </w:style>
  <w:style w:type="character" w:styleId="WW8Num1z0" w:customStyle="1">
    <w:name w:val="WW8Num1z0"/>
    <w:qFormat/>
    <w:rsid w:val="00bc7322"/>
    <w:rPr>
      <w:rFonts w:ascii="Symbol" w:hAnsi="Symbol"/>
    </w:rPr>
  </w:style>
  <w:style w:type="character" w:styleId="WW8Num1z2" w:customStyle="1">
    <w:name w:val="WW8Num1z2"/>
    <w:qFormat/>
    <w:rsid w:val="00bc7322"/>
    <w:rPr>
      <w:rFonts w:ascii="Courier New" w:hAnsi="Courier New" w:cs="Courier New"/>
    </w:rPr>
  </w:style>
  <w:style w:type="character" w:styleId="WW8Num1z3" w:customStyle="1">
    <w:name w:val="WW8Num1z3"/>
    <w:qFormat/>
    <w:rsid w:val="00bc7322"/>
    <w:rPr>
      <w:rFonts w:ascii="Wingdings" w:hAnsi="Wingdings"/>
    </w:rPr>
  </w:style>
  <w:style w:type="character" w:styleId="DefaultParagraphFont1" w:customStyle="1">
    <w:name w:val="Default Paragraph Font*"/>
    <w:qFormat/>
    <w:rsid w:val="00bc7322"/>
    <w:rPr/>
  </w:style>
  <w:style w:type="character" w:styleId="WWAbsatzStandardschriftart11111" w:customStyle="1">
    <w:name w:val="WW-Absatz-Standardschriftart11111"/>
    <w:qFormat/>
    <w:rsid w:val="00bc7322"/>
    <w:rPr/>
  </w:style>
  <w:style w:type="character" w:styleId="WW8Num3z0" w:customStyle="1">
    <w:name w:val="WW8Num3z0"/>
    <w:qFormat/>
    <w:rsid w:val="00bc7322"/>
    <w:rPr>
      <w:rFonts w:ascii="Symbol" w:hAnsi="Symbol" w:cs="StarSymbol"/>
      <w:sz w:val="18"/>
      <w:szCs w:val="18"/>
    </w:rPr>
  </w:style>
  <w:style w:type="character" w:styleId="WWAbsatzStandardschriftart111111" w:customStyle="1">
    <w:name w:val="WW-Absatz-Standardschriftart111111"/>
    <w:qFormat/>
    <w:rsid w:val="00bc7322"/>
    <w:rPr/>
  </w:style>
  <w:style w:type="character" w:styleId="WWAbsatzStandardschriftart1111111" w:customStyle="1">
    <w:name w:val="WW-Absatz-Standardschriftart1111111"/>
    <w:qFormat/>
    <w:rsid w:val="00bc7322"/>
    <w:rPr/>
  </w:style>
  <w:style w:type="character" w:styleId="WWAbsatzStandardschriftart11111111" w:customStyle="1">
    <w:name w:val="WW-Absatz-Standardschriftart11111111"/>
    <w:qFormat/>
    <w:rsid w:val="00bc7322"/>
    <w:rPr/>
  </w:style>
  <w:style w:type="character" w:styleId="WWAbsatzStandardschriftart111111111" w:customStyle="1">
    <w:name w:val="WW-Absatz-Standardschriftart111111111"/>
    <w:qFormat/>
    <w:rsid w:val="00bc7322"/>
    <w:rPr/>
  </w:style>
  <w:style w:type="character" w:styleId="WWAbsatzStandardschriftart1111111111" w:customStyle="1">
    <w:name w:val="WW-Absatz-Standardschriftart1111111111"/>
    <w:qFormat/>
    <w:rsid w:val="00bc7322"/>
    <w:rPr/>
  </w:style>
  <w:style w:type="character" w:styleId="WWAbsatzStandardschriftart11111111111" w:customStyle="1">
    <w:name w:val="WW-Absatz-Standardschriftart11111111111"/>
    <w:qFormat/>
    <w:rsid w:val="00bc7322"/>
    <w:rPr/>
  </w:style>
  <w:style w:type="character" w:styleId="WWAbsatzStandardschriftart111111111111" w:customStyle="1">
    <w:name w:val="WW-Absatz-Standardschriftart111111111111"/>
    <w:qFormat/>
    <w:rsid w:val="00bc7322"/>
    <w:rPr/>
  </w:style>
  <w:style w:type="character" w:styleId="WWAbsatzStandardschriftart1111111111111" w:customStyle="1">
    <w:name w:val="WW-Absatz-Standardschriftart1111111111111"/>
    <w:qFormat/>
    <w:rsid w:val="00bc7322"/>
    <w:rPr/>
  </w:style>
  <w:style w:type="character" w:styleId="WWAbsatzStandardschriftart11111111111111" w:customStyle="1">
    <w:name w:val="WW-Absatz-Standardschriftart11111111111111"/>
    <w:qFormat/>
    <w:rsid w:val="00bc7322"/>
    <w:rPr/>
  </w:style>
  <w:style w:type="character" w:styleId="WWAbsatzStandardschriftart111111111111111" w:customStyle="1">
    <w:name w:val="WW-Absatz-Standardschriftart111111111111111"/>
    <w:qFormat/>
    <w:rsid w:val="00bc7322"/>
    <w:rPr/>
  </w:style>
  <w:style w:type="character" w:styleId="WWAbsatzStandardschriftart1111111111111111" w:customStyle="1">
    <w:name w:val="WW-Absatz-Standardschriftart1111111111111111"/>
    <w:qFormat/>
    <w:rsid w:val="00bc7322"/>
    <w:rPr/>
  </w:style>
  <w:style w:type="character" w:styleId="WWAbsatzStandardschriftart11111111111111111" w:customStyle="1">
    <w:name w:val="WW-Absatz-Standardschriftart11111111111111111"/>
    <w:qFormat/>
    <w:rsid w:val="00bc7322"/>
    <w:rPr/>
  </w:style>
  <w:style w:type="character" w:styleId="WWAbsatzStandardschriftart111111111111111111" w:customStyle="1">
    <w:name w:val="WW-Absatz-Standardschriftart111111111111111111"/>
    <w:qFormat/>
    <w:rsid w:val="00bc7322"/>
    <w:rPr/>
  </w:style>
  <w:style w:type="character" w:styleId="WWAbsatzStandardschriftart1111111111111111111" w:customStyle="1">
    <w:name w:val="WW-Absatz-Standardschriftart1111111111111111111"/>
    <w:qFormat/>
    <w:rsid w:val="00bc7322"/>
    <w:rPr/>
  </w:style>
  <w:style w:type="character" w:styleId="WWAbsatzStandardschriftart11111111111111111111" w:customStyle="1">
    <w:name w:val="WW-Absatz-Standardschriftart11111111111111111111"/>
    <w:qFormat/>
    <w:rsid w:val="00bc7322"/>
    <w:rPr/>
  </w:style>
  <w:style w:type="character" w:styleId="WWAbsatzStandardschriftart111111111111111111111" w:customStyle="1">
    <w:name w:val="WW-Absatz-Standardschriftart111111111111111111111"/>
    <w:qFormat/>
    <w:rsid w:val="00bc7322"/>
    <w:rPr/>
  </w:style>
  <w:style w:type="character" w:styleId="WWAbsatzStandardschriftart1111111111111111111111" w:customStyle="1">
    <w:name w:val="WW-Absatz-Standardschriftart1111111111111111111111"/>
    <w:qFormat/>
    <w:rsid w:val="00bc7322"/>
    <w:rPr/>
  </w:style>
  <w:style w:type="character" w:styleId="WWAbsatzStandardschriftart11111111111111111111111" w:customStyle="1">
    <w:name w:val="WW-Absatz-Standardschriftart11111111111111111111111"/>
    <w:qFormat/>
    <w:rsid w:val="00bc7322"/>
    <w:rPr/>
  </w:style>
  <w:style w:type="character" w:styleId="WWAbsatzStandardschriftart111111111111111111111111" w:customStyle="1">
    <w:name w:val="WW-Absatz-Standardschriftart111111111111111111111111"/>
    <w:qFormat/>
    <w:rsid w:val="00bc7322"/>
    <w:rPr/>
  </w:style>
  <w:style w:type="character" w:styleId="WWAbsatzStandardschriftart1111111111111111111111111" w:customStyle="1">
    <w:name w:val="WW-Absatz-Standardschriftart1111111111111111111111111"/>
    <w:qFormat/>
    <w:rsid w:val="00bc7322"/>
    <w:rPr/>
  </w:style>
  <w:style w:type="character" w:styleId="WWAbsatzStandardschriftart11111111111111111111111111" w:customStyle="1">
    <w:name w:val="WW-Absatz-Standardschriftart11111111111111111111111111"/>
    <w:qFormat/>
    <w:rsid w:val="00bc7322"/>
    <w:rPr/>
  </w:style>
  <w:style w:type="character" w:styleId="WW8Num2z0" w:customStyle="1">
    <w:name w:val="WW8Num2z0"/>
    <w:qFormat/>
    <w:rsid w:val="00bc7322"/>
    <w:rPr>
      <w:rFonts w:ascii="Symbol" w:hAnsi="Symbol" w:cs="StarSymbol"/>
      <w:sz w:val="18"/>
      <w:szCs w:val="18"/>
    </w:rPr>
  </w:style>
  <w:style w:type="character" w:styleId="WW8Num2z1" w:customStyle="1">
    <w:name w:val="WW8Num2z1"/>
    <w:qFormat/>
    <w:rsid w:val="00bc7322"/>
    <w:rPr>
      <w:rFonts w:ascii="OpenSymbol" w:hAnsi="OpenSymbol" w:cs="OpenSymbol"/>
    </w:rPr>
  </w:style>
  <w:style w:type="character" w:styleId="WWAbsatzStandardschriftart111111111111111111111111111" w:customStyle="1">
    <w:name w:val="WW-Absatz-Standardschriftart111111111111111111111111111"/>
    <w:qFormat/>
    <w:rsid w:val="00bc7322"/>
    <w:rPr/>
  </w:style>
  <w:style w:type="character" w:styleId="WWAbsatzStandardschriftart1111111111111111111111111111" w:customStyle="1">
    <w:name w:val="WW-Absatz-Standardschriftart1111111111111111111111111111"/>
    <w:qFormat/>
    <w:rsid w:val="00bc7322"/>
    <w:rPr/>
  </w:style>
  <w:style w:type="character" w:styleId="WWAbsatzStandardschriftart11111111111111111111111111111" w:customStyle="1">
    <w:name w:val="WW-Absatz-Standardschriftart11111111111111111111111111111"/>
    <w:qFormat/>
    <w:rsid w:val="00bc7322"/>
    <w:rPr/>
  </w:style>
  <w:style w:type="character" w:styleId="WWAbsatzStandardschriftart111111111111111111111111111111" w:customStyle="1">
    <w:name w:val="WW-Absatz-Standardschriftart111111111111111111111111111111"/>
    <w:qFormat/>
    <w:rsid w:val="00bc7322"/>
    <w:rPr/>
  </w:style>
  <w:style w:type="character" w:styleId="WWAbsatzStandardschriftart1111111111111111111111111111111" w:customStyle="1">
    <w:name w:val="WW-Absatz-Standardschriftart1111111111111111111111111111111"/>
    <w:qFormat/>
    <w:rsid w:val="00bc7322"/>
    <w:rPr/>
  </w:style>
  <w:style w:type="character" w:styleId="WWAbsatzStandardschriftart11111111111111111111111111111111" w:customStyle="1">
    <w:name w:val="WW-Absatz-Standardschriftart11111111111111111111111111111111"/>
    <w:qFormat/>
    <w:rsid w:val="00bc7322"/>
    <w:rPr/>
  </w:style>
  <w:style w:type="character" w:styleId="WWAbsatzStandardschriftart111111111111111111111111111111111" w:customStyle="1">
    <w:name w:val="WW-Absatz-Standardschriftart111111111111111111111111111111111"/>
    <w:qFormat/>
    <w:rsid w:val="00bc7322"/>
    <w:rPr/>
  </w:style>
  <w:style w:type="character" w:styleId="WWAbsatzStandardschriftart1111111111111111111111111111111111" w:customStyle="1">
    <w:name w:val="WW-Absatz-Standardschriftart1111111111111111111111111111111111"/>
    <w:qFormat/>
    <w:rsid w:val="00bc7322"/>
    <w:rPr/>
  </w:style>
  <w:style w:type="character" w:styleId="WWAbsatzStandardschriftart11111111111111111111111111111111111" w:customStyle="1">
    <w:name w:val="WW-Absatz-Standardschriftart11111111111111111111111111111111111"/>
    <w:qFormat/>
    <w:rsid w:val="00bc7322"/>
    <w:rPr/>
  </w:style>
  <w:style w:type="character" w:styleId="WWAbsatzStandardschriftart111111111111111111111111111111111111" w:customStyle="1">
    <w:name w:val="WW-Absatz-Standardschriftart111111111111111111111111111111111111"/>
    <w:qFormat/>
    <w:rsid w:val="00bc7322"/>
    <w:rPr/>
  </w:style>
  <w:style w:type="character" w:styleId="WWAbsatzStandardschriftart1111111111111111111111111111111111111" w:customStyle="1">
    <w:name w:val="WW-Absatz-Standardschriftart1111111111111111111111111111111111111"/>
    <w:qFormat/>
    <w:rsid w:val="00bc7322"/>
    <w:rPr/>
  </w:style>
  <w:style w:type="character" w:styleId="WWAbsatzStandardschriftart11111111111111111111111111111111111111" w:customStyle="1">
    <w:name w:val="WW-Absatz-Standardschriftart11111111111111111111111111111111111111"/>
    <w:qFormat/>
    <w:rsid w:val="00bc7322"/>
    <w:rPr/>
  </w:style>
  <w:style w:type="character" w:styleId="WWAbsatzStandardschriftart111111111111111111111111111111111111111" w:customStyle="1">
    <w:name w:val="WW-Absatz-Standardschriftart111111111111111111111111111111111111111"/>
    <w:qFormat/>
    <w:rsid w:val="00bc7322"/>
    <w:rPr/>
  </w:style>
  <w:style w:type="character" w:styleId="WWAbsatzStandardschriftart1111111111111111111111111111111111111111" w:customStyle="1">
    <w:name w:val="WW-Absatz-Standardschriftart1111111111111111111111111111111111111111"/>
    <w:qFormat/>
    <w:rsid w:val="00bc7322"/>
    <w:rPr/>
  </w:style>
  <w:style w:type="character" w:styleId="WWAbsatzStandardschriftart11111111111111111111111111111111111111111" w:customStyle="1">
    <w:name w:val="WW-Absatz-Standardschriftart11111111111111111111111111111111111111111"/>
    <w:qFormat/>
    <w:rsid w:val="00bc7322"/>
    <w:rPr/>
  </w:style>
  <w:style w:type="character" w:styleId="WW8Num4z0" w:customStyle="1">
    <w:name w:val="WW8Num4z0"/>
    <w:qFormat/>
    <w:rsid w:val="00bc7322"/>
    <w:rPr>
      <w:rFonts w:ascii="Symbol" w:hAnsi="Symbol" w:cs="StarSymbol"/>
      <w:sz w:val="18"/>
      <w:szCs w:val="18"/>
    </w:rPr>
  </w:style>
  <w:style w:type="character" w:styleId="WW8Num5z0" w:customStyle="1">
    <w:name w:val="WW8Num5z0"/>
    <w:qFormat/>
    <w:rsid w:val="00bc7322"/>
    <w:rPr>
      <w:rFonts w:ascii="Symbol" w:hAnsi="Symbol" w:cs="OpenSymbol"/>
    </w:rPr>
  </w:style>
  <w:style w:type="character" w:styleId="WW8Num6z0" w:customStyle="1">
    <w:name w:val="WW8Num6z0"/>
    <w:qFormat/>
    <w:rsid w:val="00bc7322"/>
    <w:rPr>
      <w:rFonts w:ascii="Symbol" w:hAnsi="Symbol" w:cs="StarSymbol"/>
      <w:sz w:val="18"/>
      <w:szCs w:val="18"/>
    </w:rPr>
  </w:style>
  <w:style w:type="character" w:styleId="WW8Num6z1" w:customStyle="1">
    <w:name w:val="WW8Num6z1"/>
    <w:qFormat/>
    <w:rsid w:val="00bc7322"/>
    <w:rPr>
      <w:rFonts w:ascii="Courier New" w:hAnsi="Courier New" w:cs="Courier New"/>
    </w:rPr>
  </w:style>
  <w:style w:type="character" w:styleId="WW8Num6z2" w:customStyle="1">
    <w:name w:val="WW8Num6z2"/>
    <w:qFormat/>
    <w:rsid w:val="00bc7322"/>
    <w:rPr>
      <w:rFonts w:ascii="Wingdings" w:hAnsi="Wingdings" w:cs="Wingdings"/>
    </w:rPr>
  </w:style>
  <w:style w:type="character" w:styleId="WW8Num7z0" w:customStyle="1">
    <w:name w:val="WW8Num7z0"/>
    <w:qFormat/>
    <w:rsid w:val="00bc7322"/>
    <w:rPr>
      <w:rFonts w:ascii="Symbol" w:hAnsi="Symbol" w:cs="Symbol"/>
    </w:rPr>
  </w:style>
  <w:style w:type="character" w:styleId="WW8Num7z1" w:customStyle="1">
    <w:name w:val="WW8Num7z1"/>
    <w:qFormat/>
    <w:rsid w:val="00bc7322"/>
    <w:rPr>
      <w:rFonts w:ascii="Courier New" w:hAnsi="Courier New" w:cs="Courier New"/>
    </w:rPr>
  </w:style>
  <w:style w:type="character" w:styleId="WW8Num7z2" w:customStyle="1">
    <w:name w:val="WW8Num7z2"/>
    <w:qFormat/>
    <w:rsid w:val="00bc7322"/>
    <w:rPr>
      <w:rFonts w:ascii="Wingdings" w:hAnsi="Wingdings" w:cs="Wingdings"/>
    </w:rPr>
  </w:style>
  <w:style w:type="character" w:styleId="WW8Num8z0" w:customStyle="1">
    <w:name w:val="WW8Num8z0"/>
    <w:qFormat/>
    <w:rsid w:val="00bc7322"/>
    <w:rPr>
      <w:rFonts w:ascii="Symbol" w:hAnsi="Symbol" w:cs="Symbol"/>
    </w:rPr>
  </w:style>
  <w:style w:type="character" w:styleId="WW8Num8z1" w:customStyle="1">
    <w:name w:val="WW8Num8z1"/>
    <w:qFormat/>
    <w:rsid w:val="00bc7322"/>
    <w:rPr>
      <w:rFonts w:ascii="Courier New" w:hAnsi="Courier New" w:cs="Courier New"/>
    </w:rPr>
  </w:style>
  <w:style w:type="character" w:styleId="WW8Num8z2" w:customStyle="1">
    <w:name w:val="WW8Num8z2"/>
    <w:qFormat/>
    <w:rsid w:val="00bc7322"/>
    <w:rPr>
      <w:rFonts w:ascii="Wingdings" w:hAnsi="Wingdings" w:cs="Wingdings"/>
    </w:rPr>
  </w:style>
  <w:style w:type="character" w:styleId="WW8Num9z0" w:customStyle="1">
    <w:name w:val="WW8Num9z0"/>
    <w:qFormat/>
    <w:rsid w:val="00bc7322"/>
    <w:rPr>
      <w:rFonts w:ascii="Symbol" w:hAnsi="Symbol" w:cs="Symbol"/>
    </w:rPr>
  </w:style>
  <w:style w:type="character" w:styleId="WW8Num9z1" w:customStyle="1">
    <w:name w:val="WW8Num9z1"/>
    <w:qFormat/>
    <w:rsid w:val="00bc7322"/>
    <w:rPr>
      <w:rFonts w:ascii="Courier New" w:hAnsi="Courier New" w:cs="Courier New"/>
    </w:rPr>
  </w:style>
  <w:style w:type="character" w:styleId="WW8Num9z2" w:customStyle="1">
    <w:name w:val="WW8Num9z2"/>
    <w:qFormat/>
    <w:rsid w:val="00bc7322"/>
    <w:rPr>
      <w:rFonts w:ascii="Wingdings" w:hAnsi="Wingdings" w:cs="Wingdings"/>
    </w:rPr>
  </w:style>
  <w:style w:type="character" w:styleId="WW8Num10z0" w:customStyle="1">
    <w:name w:val="WW8Num10z0"/>
    <w:qFormat/>
    <w:rsid w:val="00bc7322"/>
    <w:rPr>
      <w:rFonts w:ascii="Symbol" w:hAnsi="Symbol" w:cs="Symbol"/>
    </w:rPr>
  </w:style>
  <w:style w:type="character" w:styleId="WW8Num10z1" w:customStyle="1">
    <w:name w:val="WW8Num10z1"/>
    <w:qFormat/>
    <w:rsid w:val="00bc7322"/>
    <w:rPr>
      <w:rFonts w:ascii="Courier New" w:hAnsi="Courier New" w:cs="Courier New"/>
    </w:rPr>
  </w:style>
  <w:style w:type="character" w:styleId="WW8Num10z2" w:customStyle="1">
    <w:name w:val="WW8Num10z2"/>
    <w:qFormat/>
    <w:rsid w:val="00bc7322"/>
    <w:rPr>
      <w:rFonts w:ascii="Wingdings" w:hAnsi="Wingdings" w:cs="Wingdings"/>
    </w:rPr>
  </w:style>
  <w:style w:type="character" w:styleId="WW8Num11z0" w:customStyle="1">
    <w:name w:val="WW8Num11z0"/>
    <w:qFormat/>
    <w:rsid w:val="00bc7322"/>
    <w:rPr>
      <w:rFonts w:ascii="Symbol" w:hAnsi="Symbol" w:cs="Symbol"/>
    </w:rPr>
  </w:style>
  <w:style w:type="character" w:styleId="WW8Num11z1" w:customStyle="1">
    <w:name w:val="WW8Num11z1"/>
    <w:qFormat/>
    <w:rsid w:val="00bc7322"/>
    <w:rPr>
      <w:rFonts w:ascii="Courier New" w:hAnsi="Courier New" w:cs="Courier New"/>
    </w:rPr>
  </w:style>
  <w:style w:type="character" w:styleId="WW8Num11z2" w:customStyle="1">
    <w:name w:val="WW8Num11z2"/>
    <w:qFormat/>
    <w:rsid w:val="00bc7322"/>
    <w:rPr>
      <w:rFonts w:ascii="Wingdings" w:hAnsi="Wingdings" w:cs="Wingdings"/>
    </w:rPr>
  </w:style>
  <w:style w:type="character" w:styleId="WW8Num12z0" w:customStyle="1">
    <w:name w:val="WW8Num12z0"/>
    <w:qFormat/>
    <w:rsid w:val="00bc7322"/>
    <w:rPr>
      <w:rFonts w:ascii="Symbol" w:hAnsi="Symbol" w:cs="Symbol"/>
    </w:rPr>
  </w:style>
  <w:style w:type="character" w:styleId="WW8Num12z1" w:customStyle="1">
    <w:name w:val="WW8Num12z1"/>
    <w:qFormat/>
    <w:rsid w:val="00bc7322"/>
    <w:rPr>
      <w:rFonts w:ascii="Courier New" w:hAnsi="Courier New" w:cs="Courier New"/>
    </w:rPr>
  </w:style>
  <w:style w:type="character" w:styleId="WW8Num12z2" w:customStyle="1">
    <w:name w:val="WW8Num12z2"/>
    <w:qFormat/>
    <w:rsid w:val="00bc7322"/>
    <w:rPr>
      <w:rFonts w:ascii="Wingdings" w:hAnsi="Wingdings" w:cs="Wingdings"/>
    </w:rPr>
  </w:style>
  <w:style w:type="character" w:styleId="WW8Num13z0" w:customStyle="1">
    <w:name w:val="WW8Num13z0"/>
    <w:qFormat/>
    <w:rsid w:val="00bc7322"/>
    <w:rPr>
      <w:rFonts w:ascii="Symbol" w:hAnsi="Symbol" w:cs="Symbol"/>
    </w:rPr>
  </w:style>
  <w:style w:type="character" w:styleId="WW8Num13z1" w:customStyle="1">
    <w:name w:val="WW8Num13z1"/>
    <w:qFormat/>
    <w:rsid w:val="00bc7322"/>
    <w:rPr>
      <w:rFonts w:ascii="Courier New" w:hAnsi="Courier New" w:cs="Courier New"/>
    </w:rPr>
  </w:style>
  <w:style w:type="character" w:styleId="WW8Num13z2" w:customStyle="1">
    <w:name w:val="WW8Num13z2"/>
    <w:qFormat/>
    <w:rsid w:val="00bc7322"/>
    <w:rPr>
      <w:rFonts w:ascii="Wingdings" w:hAnsi="Wingdings" w:cs="Wingdings"/>
    </w:rPr>
  </w:style>
  <w:style w:type="character" w:styleId="WW8Num14z0" w:customStyle="1">
    <w:name w:val="WW8Num14z0"/>
    <w:qFormat/>
    <w:rsid w:val="00bc7322"/>
    <w:rPr>
      <w:rFonts w:ascii="Symbol" w:hAnsi="Symbol" w:cs="Symbol"/>
    </w:rPr>
  </w:style>
  <w:style w:type="character" w:styleId="WW8Num14z1" w:customStyle="1">
    <w:name w:val="WW8Num14z1"/>
    <w:qFormat/>
    <w:rsid w:val="00bc7322"/>
    <w:rPr>
      <w:rFonts w:ascii="Courier New" w:hAnsi="Courier New" w:cs="Courier New"/>
    </w:rPr>
  </w:style>
  <w:style w:type="character" w:styleId="WW8Num14z2" w:customStyle="1">
    <w:name w:val="WW8Num14z2"/>
    <w:qFormat/>
    <w:rsid w:val="00bc7322"/>
    <w:rPr>
      <w:rFonts w:ascii="Wingdings" w:hAnsi="Wingdings" w:cs="Wingdings"/>
    </w:rPr>
  </w:style>
  <w:style w:type="character" w:styleId="Fontepargpadro2" w:customStyle="1">
    <w:name w:val="Fonte parág. padrão2"/>
    <w:qFormat/>
    <w:rsid w:val="00bc7322"/>
    <w:rPr/>
  </w:style>
  <w:style w:type="character" w:styleId="WWAbsatzStandardschriftart111111111111111111111111111111111111111111" w:customStyle="1">
    <w:name w:val="WW-Absatz-Standardschriftart111111111111111111111111111111111111111111"/>
    <w:qFormat/>
    <w:rsid w:val="00bc7322"/>
    <w:rPr/>
  </w:style>
  <w:style w:type="character" w:styleId="WWAbsatzStandardschriftart1111111111111111111111111111111111111111111" w:customStyle="1">
    <w:name w:val="WW-Absatz-Standardschriftart1111111111111111111111111111111111111111111"/>
    <w:qFormat/>
    <w:rsid w:val="00bc7322"/>
    <w:rPr/>
  </w:style>
  <w:style w:type="character" w:styleId="WWAbsatzStandardschriftart11111111111111111111111111111111111111111111" w:customStyle="1">
    <w:name w:val="WW-Absatz-Standardschriftart11111111111111111111111111111111111111111111"/>
    <w:qFormat/>
    <w:rsid w:val="00bc7322"/>
    <w:rPr/>
  </w:style>
  <w:style w:type="character" w:styleId="WWAbsatzStandardschriftart111111111111111111111111111111111111111111111" w:customStyle="1">
    <w:name w:val="WW-Absatz-Standardschriftart111111111111111111111111111111111111111111111"/>
    <w:qFormat/>
    <w:rsid w:val="00bc7322"/>
    <w:rPr/>
  </w:style>
  <w:style w:type="character" w:styleId="WWAbsatzStandardschriftart1111111111111111111111111111111111111111111111" w:customStyle="1">
    <w:name w:val="WW-Absatz-Standardschriftart1111111111111111111111111111111111111111111111"/>
    <w:qFormat/>
    <w:rsid w:val="00bc7322"/>
    <w:rPr/>
  </w:style>
  <w:style w:type="character" w:styleId="WWAbsatzStandardschriftart11111111111111111111111111111111111111111111111" w:customStyle="1">
    <w:name w:val="WW-Absatz-Standardschriftart11111111111111111111111111111111111111111111111"/>
    <w:qFormat/>
    <w:rsid w:val="00bc7322"/>
    <w:rPr/>
  </w:style>
  <w:style w:type="character" w:styleId="WWAbsatzStandardschriftart111111111111111111111111111111111111111111111111" w:customStyle="1">
    <w:name w:val="WW-Absatz-Standardschriftart111111111111111111111111111111111111111111111111"/>
    <w:qFormat/>
    <w:rsid w:val="00bc7322"/>
    <w:rPr/>
  </w:style>
  <w:style w:type="character" w:styleId="WWAbsatzStandardschriftart1111111111111111111111111111111111111111111111111" w:customStyle="1">
    <w:name w:val="WW-Absatz-Standardschriftart1111111111111111111111111111111111111111111111111"/>
    <w:qFormat/>
    <w:rsid w:val="00bc7322"/>
    <w:rPr/>
  </w:style>
  <w:style w:type="character" w:styleId="WWAbsatzStandardschriftart11111111111111111111111111111111111111111111111111" w:customStyle="1">
    <w:name w:val="WW-Absatz-Standardschriftart11111111111111111111111111111111111111111111111111"/>
    <w:qFormat/>
    <w:rsid w:val="00bc7322"/>
    <w:rPr/>
  </w:style>
  <w:style w:type="character" w:styleId="WWAbsatzStandardschriftart111111111111111111111111111111111111111111111111111" w:customStyle="1">
    <w:name w:val="WW-Absatz-Standardschriftart111111111111111111111111111111111111111111111111111"/>
    <w:qFormat/>
    <w:rsid w:val="00bc7322"/>
    <w:rPr/>
  </w:style>
  <w:style w:type="character" w:styleId="WWAbsatzStandardschriftart1111111111111111111111111111111111111111111111111111" w:customStyle="1">
    <w:name w:val="WW-Absatz-Standardschriftart1111111111111111111111111111111111111111111111111111"/>
    <w:qFormat/>
    <w:rsid w:val="00bc7322"/>
    <w:rPr/>
  </w:style>
  <w:style w:type="character" w:styleId="WWAbsatzStandardschriftart11111111111111111111111111111111111111111111111111111" w:customStyle="1">
    <w:name w:val="WW-Absatz-Standardschriftart11111111111111111111111111111111111111111111111111111"/>
    <w:qFormat/>
    <w:rsid w:val="00bc7322"/>
    <w:rPr/>
  </w:style>
  <w:style w:type="character" w:styleId="WWAbsatzStandardschriftart111111111111111111111111111111111111111111111111111111" w:customStyle="1">
    <w:name w:val="WW-Absatz-Standardschriftart111111111111111111111111111111111111111111111111111111"/>
    <w:qFormat/>
    <w:rsid w:val="00bc7322"/>
    <w:rPr/>
  </w:style>
  <w:style w:type="character" w:styleId="WWAbsatzStandardschriftart1111111111111111111111111111111111111111111111111111111" w:customStyle="1">
    <w:name w:val="WW-Absatz-Standardschriftart1111111111111111111111111111111111111111111111111111111"/>
    <w:qFormat/>
    <w:rsid w:val="00bc7322"/>
    <w:rPr/>
  </w:style>
  <w:style w:type="character" w:styleId="WWAbsatzStandardschriftart11111111111111111111111111111111111111111111111111111111" w:customStyle="1">
    <w:name w:val="WW-Absatz-Standardschriftart11111111111111111111111111111111111111111111111111111111"/>
    <w:qFormat/>
    <w:rsid w:val="00bc7322"/>
    <w:rPr/>
  </w:style>
  <w:style w:type="character" w:styleId="WWAbsatzStandardschriftart111111111111111111111111111111111111111111111111111111111" w:customStyle="1">
    <w:name w:val="WW-Absatz-Standardschriftart111111111111111111111111111111111111111111111111111111111"/>
    <w:qFormat/>
    <w:rsid w:val="00bc7322"/>
    <w:rPr/>
  </w:style>
  <w:style w:type="character" w:styleId="WWAbsatzStandardschriftart1111111111111111111111111111111111111111111111111111111111" w:customStyle="1">
    <w:name w:val="WW-Absatz-Standardschriftart1111111111111111111111111111111111111111111111111111111111"/>
    <w:qFormat/>
    <w:rsid w:val="00bc7322"/>
    <w:rPr/>
  </w:style>
  <w:style w:type="character" w:styleId="WWAbsatzStandardschriftart11111111111111111111111111111111111111111111111111111111111" w:customStyle="1">
    <w:name w:val="WW-Absatz-Standardschriftart11111111111111111111111111111111111111111111111111111111111"/>
    <w:qFormat/>
    <w:rsid w:val="00bc7322"/>
    <w:rPr/>
  </w:style>
  <w:style w:type="character" w:styleId="WWAbsatzStandardschriftart111111111111111111111111111111111111111111111111111111111111" w:customStyle="1">
    <w:name w:val="WW-Absatz-Standardschriftart111111111111111111111111111111111111111111111111111111111111"/>
    <w:qFormat/>
    <w:rsid w:val="00bc7322"/>
    <w:rPr/>
  </w:style>
  <w:style w:type="character" w:styleId="WWAbsatzStandardschriftart1111111111111111111111111111111111111111111111111111111111111" w:customStyle="1">
    <w:name w:val="WW-Absatz-Standardschriftart1111111111111111111111111111111111111111111111111111111111111"/>
    <w:qFormat/>
    <w:rsid w:val="00bc7322"/>
    <w:rPr/>
  </w:style>
  <w:style w:type="character" w:styleId="WWAbsatzStandardschriftart11111111111111111111111111111111111111111111111111111111111111" w:customStyle="1">
    <w:name w:val="WW-Absatz-Standardschriftart11111111111111111111111111111111111111111111111111111111111111"/>
    <w:qFormat/>
    <w:rsid w:val="00bc7322"/>
    <w:rPr/>
  </w:style>
  <w:style w:type="character" w:styleId="WWAbsatzStandardschriftart111111111111111111111111111111111111111111111111111111111111111" w:customStyle="1">
    <w:name w:val="WW-Absatz-Standardschriftart111111111111111111111111111111111111111111111111111111111111111"/>
    <w:qFormat/>
    <w:rsid w:val="00bc7322"/>
    <w:rPr/>
  </w:style>
  <w:style w:type="character" w:styleId="Fontepargpadro1" w:customStyle="1">
    <w:name w:val="Fonte parág. padrão1"/>
    <w:qFormat/>
    <w:rsid w:val="00bc7322"/>
    <w:rPr/>
  </w:style>
  <w:style w:type="character" w:styleId="Nfase">
    <w:name w:val="Ênfase"/>
    <w:qFormat/>
    <w:rsid w:val="00bc7322"/>
    <w:rPr>
      <w:i/>
      <w:iCs/>
    </w:rPr>
  </w:style>
  <w:style w:type="character" w:styleId="Marcas" w:customStyle="1">
    <w:name w:val="Marcas"/>
    <w:qFormat/>
    <w:rsid w:val="00bc7322"/>
    <w:rPr>
      <w:rFonts w:ascii="OpenSymbol" w:hAnsi="OpenSymbol" w:eastAsia="OpenSymbol" w:cs="OpenSymbol"/>
    </w:rPr>
  </w:style>
  <w:style w:type="character" w:styleId="LinkdaInternet" w:customStyle="1">
    <w:name w:val="Link da Internet"/>
    <w:rsid w:val="00bc7322"/>
    <w:rPr>
      <w:color w:val="00007F"/>
      <w:u w:val="single"/>
    </w:rPr>
  </w:style>
  <w:style w:type="character" w:styleId="CommentReference" w:customStyle="1">
    <w:name w:val="Comment Reference*"/>
    <w:qFormat/>
    <w:rsid w:val="00bc7322"/>
    <w:rPr>
      <w:sz w:val="18"/>
      <w:szCs w:val="18"/>
    </w:rPr>
  </w:style>
  <w:style w:type="character" w:styleId="CommentTextChar" w:customStyle="1">
    <w:name w:val="Comment Text Char"/>
    <w:qFormat/>
    <w:rsid w:val="00bc7322"/>
    <w:rPr>
      <w:rFonts w:ascii="Arial" w:hAnsi="Arial"/>
      <w:sz w:val="24"/>
      <w:szCs w:val="24"/>
    </w:rPr>
  </w:style>
  <w:style w:type="character" w:styleId="CommentSubjectChar" w:customStyle="1">
    <w:name w:val="Comment Subject Char"/>
    <w:qFormat/>
    <w:rsid w:val="00bc7322"/>
    <w:rPr>
      <w:rFonts w:ascii="Arial" w:hAnsi="Arial"/>
      <w:b/>
      <w:bCs/>
      <w:sz w:val="24"/>
      <w:szCs w:val="24"/>
    </w:rPr>
  </w:style>
  <w:style w:type="character" w:styleId="BalloonTextChar" w:customStyle="1">
    <w:name w:val="Balloon Text Char"/>
    <w:qFormat/>
    <w:rsid w:val="00bc7322"/>
    <w:rPr>
      <w:rFonts w:ascii="Lucida Grande" w:hAnsi="Lucida Grande" w:cs="Lucida Grande"/>
      <w:sz w:val="18"/>
      <w:szCs w:val="18"/>
    </w:rPr>
  </w:style>
  <w:style w:type="character" w:styleId="Linkdainternetvisitado" w:customStyle="1">
    <w:name w:val="Link da internet visitado"/>
    <w:rsid w:val="00bc7322"/>
    <w:rPr>
      <w:color w:val="7F007F"/>
      <w:u w:val="single"/>
    </w:rPr>
  </w:style>
  <w:style w:type="character" w:styleId="Ttulo7Char" w:customStyle="1">
    <w:name w:val="Título 7 Char"/>
    <w:qFormat/>
    <w:rsid w:val="00bc7322"/>
    <w:rPr>
      <w:rFonts w:ascii="Calibri" w:hAnsi="Calibri" w:eastAsia="Times New Roman" w:cs="Times New Roman"/>
      <w:sz w:val="24"/>
      <w:szCs w:val="24"/>
      <w:lang w:eastAsia="ar-SA"/>
    </w:rPr>
  </w:style>
  <w:style w:type="character" w:styleId="RecuodecorpodetextoChar" w:customStyle="1">
    <w:name w:val="Recuo de corpo de texto Char"/>
    <w:qFormat/>
    <w:rsid w:val="00bc7322"/>
    <w:rPr>
      <w:rFonts w:ascii="Arial" w:hAnsi="Arial"/>
      <w:sz w:val="24"/>
      <w:szCs w:val="24"/>
      <w:lang w:eastAsia="ar-SA"/>
    </w:rPr>
  </w:style>
  <w:style w:type="character" w:styleId="Appleconvertedspace" w:customStyle="1">
    <w:name w:val="apple-converted-space"/>
    <w:qFormat/>
    <w:rsid w:val="00bc7322"/>
    <w:rPr/>
  </w:style>
  <w:style w:type="character" w:styleId="RodapChar" w:customStyle="1">
    <w:name w:val="Rodapé Char"/>
    <w:qFormat/>
    <w:rsid w:val="00bc7322"/>
    <w:rPr>
      <w:rFonts w:ascii="Arial" w:hAnsi="Arial"/>
      <w:lang w:eastAsia="ar-SA"/>
    </w:rPr>
  </w:style>
  <w:style w:type="character" w:styleId="TextodebaloChar" w:customStyle="1">
    <w:name w:val="Texto de balão Char"/>
    <w:basedOn w:val="DefaultParagraphFont"/>
    <w:link w:val="Textodebalo"/>
    <w:uiPriority w:val="99"/>
    <w:semiHidden/>
    <w:qFormat/>
    <w:rsid w:val="00105336"/>
    <w:rPr>
      <w:rFonts w:ascii="Tahoma" w:hAnsi="Tahoma" w:cs="Tahoma"/>
      <w:sz w:val="16"/>
      <w:szCs w:val="16"/>
      <w:lang w:eastAsia="ar-SA"/>
    </w:rPr>
  </w:style>
  <w:style w:type="character" w:styleId="Caracteresdenotadefim" w:customStyle="1">
    <w:name w:val="Caracteres de nota de fim"/>
    <w:qFormat/>
    <w:rsid w:val="00bc7322"/>
    <w:rPr/>
  </w:style>
  <w:style w:type="character" w:styleId="Smbolosdenumerao">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qFormat/>
    <w:rsid w:val="00bc7322"/>
    <w:pPr>
      <w:spacing w:before="0" w:after="120"/>
    </w:pPr>
    <w:rPr/>
  </w:style>
  <w:style w:type="paragraph" w:styleId="Lista">
    <w:name w:val="List"/>
    <w:basedOn w:val="Corpodotexto"/>
    <w:qFormat/>
    <w:rsid w:val="00bc7322"/>
    <w:pPr/>
    <w:rPr>
      <w:rFonts w:cs="Tahoma"/>
    </w:rPr>
  </w:style>
  <w:style w:type="paragraph" w:styleId="Legenda" w:customStyle="1">
    <w:name w:val="Caption"/>
    <w:basedOn w:val="Normal"/>
    <w:qFormat/>
    <w:rsid w:val="00bc7322"/>
    <w:pPr>
      <w:suppressLineNumbers/>
      <w:spacing w:before="120" w:after="120"/>
    </w:pPr>
    <w:rPr>
      <w:rFonts w:cs="Lucida Sans"/>
      <w:i/>
      <w:iCs/>
    </w:rPr>
  </w:style>
  <w:style w:type="paragraph" w:styleId="Ndice" w:customStyle="1">
    <w:name w:val="Índice"/>
    <w:basedOn w:val="Normal"/>
    <w:qFormat/>
    <w:rsid w:val="00bc7322"/>
    <w:pPr>
      <w:suppressLineNumbers/>
    </w:pPr>
    <w:rPr>
      <w:rFonts w:cs="Tahoma"/>
    </w:rPr>
  </w:style>
  <w:style w:type="paragraph" w:styleId="Ttulododocumento">
    <w:name w:val="Title"/>
    <w:basedOn w:val="Normal"/>
    <w:next w:val="Corpodotexto"/>
    <w:qFormat/>
    <w:rsid w:val="00bc7322"/>
    <w:pPr>
      <w:keepNext w:val="true"/>
      <w:spacing w:before="240" w:after="120"/>
    </w:pPr>
    <w:rPr>
      <w:rFonts w:ascii="Liberation Sans" w:hAnsi="Liberation Sans" w:eastAsia="Microsoft YaHei" w:cs="Lucida Sans"/>
      <w:sz w:val="28"/>
      <w:szCs w:val="28"/>
    </w:rPr>
  </w:style>
  <w:style w:type="paragraph" w:styleId="Ttulo31" w:customStyle="1">
    <w:name w:val="Título3"/>
    <w:basedOn w:val="Normal"/>
    <w:next w:val="Corpodotexto"/>
    <w:qFormat/>
    <w:rsid w:val="00bc7322"/>
    <w:pPr>
      <w:keepNext w:val="true"/>
      <w:spacing w:before="240" w:after="120"/>
    </w:pPr>
    <w:rPr>
      <w:rFonts w:eastAsia="Lucida Sans Unicode" w:cs="Tahoma"/>
      <w:sz w:val="28"/>
      <w:szCs w:val="28"/>
    </w:rPr>
  </w:style>
  <w:style w:type="paragraph" w:styleId="Legenda3" w:customStyle="1">
    <w:name w:val="Legenda3"/>
    <w:basedOn w:val="Normal"/>
    <w:qFormat/>
    <w:rsid w:val="00bc7322"/>
    <w:pPr>
      <w:suppressLineNumbers/>
      <w:spacing w:before="120" w:after="120"/>
    </w:pPr>
    <w:rPr>
      <w:rFonts w:cs="Tahoma"/>
      <w:i/>
      <w:iCs/>
    </w:rPr>
  </w:style>
  <w:style w:type="paragraph" w:styleId="Ttulo21" w:customStyle="1">
    <w:name w:val="Título2"/>
    <w:basedOn w:val="Normal"/>
    <w:next w:val="Corpodotexto"/>
    <w:qFormat/>
    <w:rsid w:val="00bc7322"/>
    <w:pPr>
      <w:keepNext w:val="true"/>
      <w:spacing w:before="240" w:after="120"/>
    </w:pPr>
    <w:rPr>
      <w:rFonts w:eastAsia="Lucida Sans Unicode" w:cs="Tahoma"/>
      <w:sz w:val="28"/>
      <w:szCs w:val="28"/>
    </w:rPr>
  </w:style>
  <w:style w:type="paragraph" w:styleId="Legenda2" w:customStyle="1">
    <w:name w:val="Legenda2"/>
    <w:basedOn w:val="Normal"/>
    <w:qFormat/>
    <w:rsid w:val="00bc7322"/>
    <w:pPr>
      <w:suppressLineNumbers/>
      <w:spacing w:before="120" w:after="120"/>
    </w:pPr>
    <w:rPr>
      <w:rFonts w:cs="Tahoma"/>
      <w:i/>
      <w:iCs/>
    </w:rPr>
  </w:style>
  <w:style w:type="paragraph" w:styleId="Ttulo11" w:customStyle="1">
    <w:name w:val="Título1"/>
    <w:basedOn w:val="Normal"/>
    <w:next w:val="Corpodotexto"/>
    <w:qFormat/>
    <w:rsid w:val="00bc7322"/>
    <w:pPr>
      <w:keepNext w:val="true"/>
      <w:spacing w:before="240" w:after="120"/>
    </w:pPr>
    <w:rPr>
      <w:rFonts w:eastAsia="Lucida Sans Unicode" w:cs="Tahoma"/>
      <w:sz w:val="28"/>
      <w:szCs w:val="28"/>
    </w:rPr>
  </w:style>
  <w:style w:type="paragraph" w:styleId="Legenda1" w:customStyle="1">
    <w:name w:val="Legenda1"/>
    <w:basedOn w:val="Normal"/>
    <w:qFormat/>
    <w:rsid w:val="00bc7322"/>
    <w:pPr>
      <w:suppressLineNumbers/>
      <w:spacing w:before="120" w:after="120"/>
    </w:pPr>
    <w:rPr>
      <w:rFonts w:cs="Tahoma"/>
      <w:i/>
      <w:iCs/>
    </w:rPr>
  </w:style>
  <w:style w:type="paragraph" w:styleId="CabealhoeRodap" w:customStyle="1">
    <w:name w:val="Cabeçalho e Rodapé"/>
    <w:basedOn w:val="Normal"/>
    <w:qFormat/>
    <w:rsid w:val="00bc7322"/>
    <w:pPr/>
    <w:rPr/>
  </w:style>
  <w:style w:type="paragraph" w:styleId="Cabealho" w:customStyle="1">
    <w:name w:val="Header"/>
    <w:basedOn w:val="Normal"/>
    <w:qFormat/>
    <w:rsid w:val="00bc7322"/>
    <w:pPr>
      <w:tabs>
        <w:tab w:val="clear" w:pos="720"/>
        <w:tab w:val="center" w:pos="4252" w:leader="none"/>
        <w:tab w:val="right" w:pos="8504" w:leader="none"/>
      </w:tabs>
    </w:pPr>
    <w:rPr/>
  </w:style>
  <w:style w:type="paragraph" w:styleId="Rodap" w:customStyle="1">
    <w:name w:val="Footer"/>
    <w:basedOn w:val="Normal"/>
    <w:qFormat/>
    <w:rsid w:val="00bc7322"/>
    <w:pPr>
      <w:tabs>
        <w:tab w:val="clear" w:pos="720"/>
        <w:tab w:val="center" w:pos="4252" w:leader="none"/>
        <w:tab w:val="right" w:pos="8504" w:leader="none"/>
      </w:tabs>
    </w:pPr>
    <w:rPr>
      <w:sz w:val="20"/>
      <w:szCs w:val="20"/>
    </w:rPr>
  </w:style>
  <w:style w:type="paragraph" w:styleId="Logo" w:customStyle="1">
    <w:name w:val="logo"/>
    <w:basedOn w:val="Normal"/>
    <w:qFormat/>
    <w:rsid w:val="00bc7322"/>
    <w:pPr>
      <w:spacing w:before="0" w:after="0"/>
      <w:ind w:hanging="0"/>
      <w:jc w:val="left"/>
    </w:pPr>
    <w:rPr>
      <w:rFonts w:ascii="Arial Narrow" w:hAnsi="Arial Narrow" w:cs="Liberation Sans Narrow"/>
      <w:sz w:val="20"/>
      <w:szCs w:val="20"/>
    </w:rPr>
  </w:style>
  <w:style w:type="paragraph" w:styleId="Blockquote" w:customStyle="1">
    <w:name w:val="Blockquote"/>
    <w:basedOn w:val="Normal"/>
    <w:qFormat/>
    <w:rsid w:val="00bc7322"/>
    <w:pPr>
      <w:spacing w:before="100" w:after="100"/>
      <w:ind w:left="360" w:right="360" w:hanging="0"/>
    </w:pPr>
    <w:rPr/>
  </w:style>
  <w:style w:type="paragraph" w:styleId="NoSpacing" w:customStyle="1">
    <w:name w:val="No Spacing*"/>
    <w:qFormat/>
    <w:rsid w:val="00bc7322"/>
    <w:pPr>
      <w:widowControl/>
      <w:suppressAutoHyphens w:val="true"/>
      <w:bidi w:val="0"/>
      <w:spacing w:before="0" w:after="0"/>
      <w:jc w:val="left"/>
    </w:pPr>
    <w:rPr>
      <w:rFonts w:ascii="Calibri" w:hAnsi="Calibri" w:eastAsia="Calibri" w:cs="Calibri"/>
      <w:color w:val="auto"/>
      <w:kern w:val="0"/>
      <w:sz w:val="22"/>
      <w:szCs w:val="22"/>
      <w:lang w:val="pt-BR" w:eastAsia="ar-SA" w:bidi="ar-SA"/>
    </w:rPr>
  </w:style>
  <w:style w:type="paragraph" w:styleId="HTMLPreformatted" w:customStyle="1">
    <w:name w:val="HTML Preformatted*"/>
    <w:basedOn w:val="Normal"/>
    <w:qFormat/>
    <w:rsid w:val="00bc7322"/>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hanging="0"/>
      <w:jc w:val="left"/>
    </w:pPr>
    <w:rPr>
      <w:rFonts w:ascii="Courier New" w:hAnsi="Courier New" w:cs="Courier New"/>
      <w:sz w:val="20"/>
      <w:szCs w:val="20"/>
    </w:rPr>
  </w:style>
  <w:style w:type="paragraph" w:styleId="Corpodetexto21" w:customStyle="1">
    <w:name w:val="Corpo de texto 21"/>
    <w:basedOn w:val="Normal"/>
    <w:qFormat/>
    <w:rsid w:val="00bc7322"/>
    <w:pPr>
      <w:spacing w:lineRule="auto" w:line="360" w:before="0" w:after="0"/>
      <w:ind w:hanging="0"/>
      <w:jc w:val="center"/>
    </w:pPr>
    <w:rPr>
      <w:rFonts w:ascii="Garamond" w:hAnsi="Garamond" w:cs="Garamond"/>
      <w:szCs w:val="20"/>
    </w:rPr>
  </w:style>
  <w:style w:type="paragraph" w:styleId="Contedodetabela" w:customStyle="1">
    <w:name w:val="Conteúdo de tabela"/>
    <w:basedOn w:val="Normal"/>
    <w:qFormat/>
    <w:rsid w:val="00bc7322"/>
    <w:pPr>
      <w:suppressLineNumbers/>
    </w:pPr>
    <w:rPr/>
  </w:style>
  <w:style w:type="paragraph" w:styleId="Contedodatabela" w:customStyle="1">
    <w:name w:val="Conteúdo da tabela"/>
    <w:basedOn w:val="Normal"/>
    <w:qFormat/>
    <w:rsid w:val="00bc7322"/>
    <w:pPr/>
    <w:rPr/>
  </w:style>
  <w:style w:type="paragraph" w:styleId="Ttulodetabela" w:customStyle="1">
    <w:name w:val="Título de tabela"/>
    <w:basedOn w:val="Contedodetabela"/>
    <w:qFormat/>
    <w:rsid w:val="00bc7322"/>
    <w:pPr>
      <w:jc w:val="center"/>
    </w:pPr>
    <w:rPr>
      <w:b/>
      <w:bCs/>
    </w:rPr>
  </w:style>
  <w:style w:type="paragraph" w:styleId="Contedodequadro" w:customStyle="1">
    <w:name w:val="Conteúdo de quadro"/>
    <w:basedOn w:val="Corpodotexto"/>
    <w:qFormat/>
    <w:rsid w:val="00bc7322"/>
    <w:pPr/>
    <w:rPr/>
  </w:style>
  <w:style w:type="paragraph" w:styleId="ListParagraph" w:customStyle="1">
    <w:name w:val="List Paragraph*"/>
    <w:basedOn w:val="Normal"/>
    <w:qFormat/>
    <w:rsid w:val="00bc7322"/>
    <w:pPr>
      <w:spacing w:lineRule="auto" w:line="276" w:before="0" w:after="200"/>
      <w:ind w:left="720" w:hanging="0"/>
      <w:jc w:val="left"/>
    </w:pPr>
    <w:rPr>
      <w:rFonts w:ascii="Times New Roman" w:hAnsi="Times New Roman" w:eastAsia="Calibri" w:cs="Times New Roman"/>
      <w:szCs w:val="22"/>
    </w:rPr>
  </w:style>
  <w:style w:type="paragraph" w:styleId="Ttulo10" w:customStyle="1">
    <w:name w:val="Título 10"/>
    <w:basedOn w:val="Ttulo21"/>
    <w:next w:val="Corpodotexto"/>
    <w:qFormat/>
    <w:rsid w:val="00bc7322"/>
    <w:pPr>
      <w:tabs>
        <w:tab w:val="clear" w:pos="720"/>
        <w:tab w:val="left" w:pos="0" w:leader="none"/>
      </w:tabs>
      <w:ind w:left="432" w:hanging="432"/>
    </w:pPr>
    <w:rPr>
      <w:b/>
      <w:bCs/>
      <w:sz w:val="21"/>
      <w:szCs w:val="21"/>
    </w:rPr>
  </w:style>
  <w:style w:type="paragraph" w:styleId="CommentText" w:customStyle="1">
    <w:name w:val="Comment Text*"/>
    <w:basedOn w:val="Normal"/>
    <w:qFormat/>
    <w:rsid w:val="00bc7322"/>
    <w:pPr/>
    <w:rPr/>
  </w:style>
  <w:style w:type="paragraph" w:styleId="CommentSubject" w:customStyle="1">
    <w:name w:val="Comment Subject*"/>
    <w:basedOn w:val="CommentText"/>
    <w:next w:val="CommentText"/>
    <w:qFormat/>
    <w:rsid w:val="00bc7322"/>
    <w:pPr/>
    <w:rPr>
      <w:b/>
      <w:bCs/>
      <w:sz w:val="20"/>
      <w:szCs w:val="20"/>
    </w:rPr>
  </w:style>
  <w:style w:type="paragraph" w:styleId="BalloonText" w:customStyle="1">
    <w:name w:val="Balloon Text*"/>
    <w:basedOn w:val="Normal"/>
    <w:qFormat/>
    <w:rsid w:val="00bc7322"/>
    <w:pPr>
      <w:spacing w:before="0" w:after="0"/>
    </w:pPr>
    <w:rPr>
      <w:rFonts w:ascii="Lucida Grande" w:hAnsi="Lucida Grande" w:cs="Lucida Grande"/>
      <w:sz w:val="18"/>
      <w:szCs w:val="18"/>
    </w:rPr>
  </w:style>
  <w:style w:type="paragraph" w:styleId="Corpodotextorecuado">
    <w:name w:val="Body Text Indent"/>
    <w:basedOn w:val="Normal"/>
    <w:qFormat/>
    <w:rsid w:val="00bc7322"/>
    <w:pPr>
      <w:spacing w:before="0" w:after="120"/>
      <w:ind w:left="283" w:firstLine="709"/>
    </w:pPr>
    <w:rPr/>
  </w:style>
  <w:style w:type="paragraph" w:styleId="ListParagraph1">
    <w:name w:val="List Paragraph"/>
    <w:basedOn w:val="Normal"/>
    <w:qFormat/>
    <w:rsid w:val="00bc7322"/>
    <w:pPr>
      <w:spacing w:before="0" w:after="0"/>
      <w:ind w:left="708" w:hanging="0"/>
      <w:jc w:val="left"/>
    </w:pPr>
    <w:rPr>
      <w:rFonts w:ascii="Times New Roman" w:hAnsi="Times New Roman" w:cs="Times New Roman"/>
    </w:rPr>
  </w:style>
  <w:style w:type="paragraph" w:styleId="BalloonText1">
    <w:name w:val="Balloon Text"/>
    <w:basedOn w:val="Normal"/>
    <w:link w:val="TextodebaloChar"/>
    <w:uiPriority w:val="99"/>
    <w:semiHidden/>
    <w:unhideWhenUsed/>
    <w:qFormat/>
    <w:rsid w:val="00105336"/>
    <w:pPr>
      <w:spacing w:before="0" w:after="0"/>
    </w:pPr>
    <w:rPr>
      <w:rFonts w:ascii="Tahoma" w:hAnsi="Tahoma" w:cs="Tahoma"/>
      <w:sz w:val="16"/>
      <w:szCs w:val="16"/>
    </w:rPr>
  </w:style>
  <w:style w:type="paragraph" w:styleId="Contedodoquadro" w:customStyle="1">
    <w:name w:val="Conteúdo do quadro"/>
    <w:basedOn w:val="Normal"/>
    <w:qFormat/>
    <w:rsid w:val="00bc7322"/>
    <w:pPr/>
    <w:rPr/>
  </w:style>
  <w:style w:type="paragraph" w:styleId="DocumentMap">
    <w:name w:val="DocumentMap"/>
    <w:qFormat/>
    <w:pPr>
      <w:widowControl/>
      <w:suppressAutoHyphens w:val="true"/>
      <w:bidi w:val="0"/>
      <w:spacing w:before="0" w:after="0"/>
      <w:jc w:val="left"/>
      <w:textAlignment w:val="auto"/>
    </w:pPr>
    <w:rPr>
      <w:rFonts w:ascii="Calibri" w:hAnsi="Calibri" w:eastAsia="Cambria Math" w:cs="Calibri"/>
      <w:color w:val="auto"/>
      <w:kern w:val="0"/>
      <w:sz w:val="20"/>
      <w:szCs w:val="22"/>
      <w:lang w:val="pt-BR" w:eastAsia="en-US" w:bidi="ar-SA"/>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v.br/agu/pt-br/composicao/cgu/cgu/modelos/cti/modelogeral"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Lucida Sans Unicode"/>
        <a:cs typeface="Tahoma"/>
      </a:majorFont>
      <a:minorFont>
        <a:latin typeface="Arial"/>
        <a:ea typeface="Times New Roman"/>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Application>LibreOffice/6.3.4.2$Windows_X86_64 LibreOffice_project/60da17e045e08f1793c57c00ba83cdfce946d0aa</Application>
  <Pages>11</Pages>
  <Words>3256</Words>
  <Characters>18607</Characters>
  <CharactersWithSpaces>21801</CharactersWithSpaces>
  <Paragraphs>145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2019-03-21T14:09:00Z</dcterms:created>
  <dc:creator>Duuude</dc:creator>
  <dc:description/>
  <dc:language>pt-BR</dc:language>
  <cp:lastModifiedBy/>
  <cp:lastPrinted>2011-12-22T12:44:00Z</cp:lastPrinted>
  <dcterms:modified xsi:type="dcterms:W3CDTF">2024-01-16T15:31:00Z</dcterms:modified>
  <cp:revision>151</cp:revision>
  <dc:subject/>
  <dc:title>Projeto xxxx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